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7D1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黑体" w:hAnsi="黑体" w:eastAsia="黑体" w:cs="黑体"/>
          <w:b w:val="0"/>
          <w:bCs w:val="0"/>
          <w:spacing w:val="-20"/>
          <w:sz w:val="32"/>
          <w:szCs w:val="32"/>
          <w:lang w:val="en-US" w:eastAsia="zh-CN"/>
        </w:rPr>
        <w:t>附  件</w:t>
      </w:r>
    </w:p>
    <w:p w14:paraId="65ED83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rPr>
      </w:pPr>
    </w:p>
    <w:p w14:paraId="03E1BF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b w:val="0"/>
          <w:bCs w:val="0"/>
          <w:lang w:eastAsia="zh-CN"/>
        </w:rPr>
      </w:pPr>
      <w:r>
        <w:rPr>
          <w:rFonts w:hint="eastAsia" w:ascii="方正小标宋简体" w:hAnsi="方正小标宋简体" w:eastAsia="方正小标宋简体" w:cs="方正小标宋简体"/>
          <w:b w:val="0"/>
          <w:bCs w:val="0"/>
          <w:spacing w:val="0"/>
          <w:sz w:val="44"/>
          <w:szCs w:val="44"/>
        </w:rPr>
        <w:t>贵州省小额贷款公司分类</w:t>
      </w:r>
      <w:r>
        <w:rPr>
          <w:rFonts w:hint="eastAsia" w:ascii="方正小标宋简体" w:hAnsi="方正小标宋简体" w:eastAsia="方正小标宋简体" w:cs="方正小标宋简体"/>
          <w:b w:val="0"/>
          <w:bCs w:val="0"/>
          <w:spacing w:val="0"/>
          <w:sz w:val="44"/>
          <w:szCs w:val="44"/>
          <w:lang w:val="en-US" w:eastAsia="zh-CN"/>
        </w:rPr>
        <w:t>监管</w:t>
      </w:r>
      <w:r>
        <w:rPr>
          <w:rFonts w:hint="eastAsia" w:ascii="方正小标宋简体" w:hAnsi="方正小标宋简体" w:eastAsia="方正小标宋简体" w:cs="方正小标宋简体"/>
          <w:b w:val="0"/>
          <w:bCs w:val="0"/>
          <w:spacing w:val="0"/>
          <w:sz w:val="44"/>
          <w:szCs w:val="44"/>
          <w:lang w:val="en-US" w:eastAsia="zh-CN"/>
        </w:rPr>
        <w:br w:type="textWrapping"/>
      </w:r>
      <w:r>
        <w:rPr>
          <w:rFonts w:hint="eastAsia" w:ascii="方正小标宋简体" w:hAnsi="方正小标宋简体" w:eastAsia="方正小标宋简体" w:cs="方正小标宋简体"/>
          <w:b w:val="0"/>
          <w:bCs w:val="0"/>
          <w:spacing w:val="0"/>
          <w:sz w:val="44"/>
          <w:szCs w:val="44"/>
        </w:rPr>
        <w:t>评级</w:t>
      </w:r>
      <w:r>
        <w:rPr>
          <w:rFonts w:hint="eastAsia" w:ascii="方正小标宋简体" w:hAnsi="方正小标宋简体" w:eastAsia="方正小标宋简体" w:cs="方正小标宋简体"/>
          <w:b w:val="0"/>
          <w:bCs w:val="0"/>
          <w:spacing w:val="0"/>
          <w:sz w:val="44"/>
          <w:szCs w:val="44"/>
          <w:lang w:val="en-US" w:eastAsia="zh-CN"/>
        </w:rPr>
        <w:t>审查</w:t>
      </w:r>
      <w:r>
        <w:rPr>
          <w:rFonts w:hint="eastAsia" w:ascii="方正小标宋简体" w:hAnsi="方正小标宋简体" w:eastAsia="方正小标宋简体" w:cs="方正小标宋简体"/>
          <w:b w:val="0"/>
          <w:bCs w:val="0"/>
          <w:spacing w:val="0"/>
          <w:sz w:val="44"/>
          <w:szCs w:val="44"/>
        </w:rPr>
        <w:t>办法</w:t>
      </w:r>
      <w:r>
        <w:rPr>
          <w:rFonts w:hint="eastAsia" w:ascii="方正小标宋简体" w:hAnsi="方正小标宋简体" w:eastAsia="方正小标宋简体" w:cs="方正小标宋简体"/>
          <w:b w:val="0"/>
          <w:bCs w:val="0"/>
          <w:spacing w:val="0"/>
          <w:sz w:val="44"/>
          <w:szCs w:val="44"/>
        </w:rPr>
        <w:br w:type="textWrapping"/>
      </w:r>
      <w:r>
        <w:rPr>
          <w:rFonts w:hint="eastAsia" w:ascii="方正小标宋简体" w:hAnsi="方正小标宋简体" w:eastAsia="方正小标宋简体" w:cs="方正小标宋简体"/>
          <w:b w:val="0"/>
          <w:bCs w:val="0"/>
          <w:spacing w:val="-20"/>
          <w:sz w:val="44"/>
          <w:szCs w:val="44"/>
          <w:lang w:eastAsia="zh-CN"/>
        </w:rPr>
        <w:t>（</w:t>
      </w:r>
      <w:r>
        <w:rPr>
          <w:rFonts w:hint="eastAsia" w:ascii="方正小标宋简体" w:hAnsi="方正小标宋简体" w:eastAsia="方正小标宋简体" w:cs="方正小标宋简体"/>
          <w:b w:val="0"/>
          <w:bCs w:val="0"/>
          <w:spacing w:val="-20"/>
          <w:sz w:val="44"/>
          <w:szCs w:val="44"/>
          <w:lang w:val="en-US" w:eastAsia="zh-CN"/>
        </w:rPr>
        <w:t>试 行</w:t>
      </w:r>
      <w:r>
        <w:rPr>
          <w:rFonts w:hint="eastAsia" w:ascii="方正小标宋简体" w:hAnsi="方正小标宋简体" w:eastAsia="方正小标宋简体" w:cs="方正小标宋简体"/>
          <w:b w:val="0"/>
          <w:bCs w:val="0"/>
          <w:spacing w:val="-20"/>
          <w:sz w:val="44"/>
          <w:szCs w:val="44"/>
          <w:lang w:eastAsia="zh-CN"/>
        </w:rPr>
        <w:t>）</w:t>
      </w:r>
    </w:p>
    <w:p w14:paraId="64BDD3BD">
      <w:pPr>
        <w:jc w:val="center"/>
        <w:rPr>
          <w:rFonts w:hint="eastAsia" w:eastAsia="仿宋_GB2312"/>
          <w:b w:val="0"/>
          <w:bCs w:val="0"/>
          <w:lang w:eastAsia="zh-C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征求意见稿</w:t>
      </w:r>
      <w:r>
        <w:rPr>
          <w:rFonts w:hint="eastAsia" w:ascii="楷体_GB2312" w:hAnsi="楷体_GB2312" w:eastAsia="楷体_GB2312" w:cs="楷体_GB2312"/>
          <w:b w:val="0"/>
          <w:bCs w:val="0"/>
          <w:lang w:eastAsia="zh-CN"/>
        </w:rPr>
        <w:t>）</w:t>
      </w:r>
    </w:p>
    <w:p w14:paraId="0A0C65D1">
      <w:pPr>
        <w:keepNext w:val="0"/>
        <w:keepLines w:val="0"/>
        <w:pageBreakBefore w:val="0"/>
        <w:widowControl w:val="0"/>
        <w:numPr>
          <w:ilvl w:val="0"/>
          <w:numId w:val="0"/>
        </w:numPr>
        <w:kinsoku/>
        <w:wordWrap/>
        <w:overflowPunct/>
        <w:topLinePunct w:val="0"/>
        <w:bidi w:val="0"/>
        <w:adjustRightInd/>
        <w:snapToGrid/>
        <w:spacing w:line="560" w:lineRule="exact"/>
        <w:ind w:leftChars="0"/>
        <w:jc w:val="center"/>
        <w:textAlignment w:val="auto"/>
        <w:rPr>
          <w:rFonts w:hint="eastAsia" w:ascii="黑体" w:hAnsi="黑体" w:eastAsia="黑体" w:cs="黑体"/>
          <w:b w:val="0"/>
          <w:bCs w:val="0"/>
          <w:color w:val="000000"/>
          <w:sz w:val="32"/>
          <w:szCs w:val="32"/>
          <w:lang w:val="en-US" w:eastAsia="en-US" w:bidi="ar-SA"/>
        </w:rPr>
      </w:pPr>
      <w:r>
        <w:rPr>
          <w:rFonts w:hint="eastAsia" w:ascii="黑体" w:hAnsi="黑体" w:eastAsia="黑体" w:cs="黑体"/>
          <w:b w:val="0"/>
          <w:bCs w:val="0"/>
          <w:color w:val="000000"/>
          <w:sz w:val="32"/>
          <w:szCs w:val="32"/>
          <w:lang w:val="en-US" w:eastAsia="zh-CN" w:bidi="ar-SA"/>
        </w:rPr>
        <w:t xml:space="preserve">第一章  </w:t>
      </w:r>
      <w:r>
        <w:rPr>
          <w:rFonts w:hint="eastAsia" w:ascii="黑体" w:hAnsi="黑体" w:eastAsia="黑体" w:cs="黑体"/>
          <w:b w:val="0"/>
          <w:bCs w:val="0"/>
          <w:color w:val="000000"/>
          <w:sz w:val="32"/>
          <w:szCs w:val="32"/>
          <w:lang w:val="en-US" w:eastAsia="en-US" w:bidi="ar-SA"/>
        </w:rPr>
        <w:t>总</w:t>
      </w:r>
      <w:r>
        <w:rPr>
          <w:rFonts w:hint="eastAsia" w:ascii="黑体" w:hAnsi="黑体" w:eastAsia="黑体" w:cs="黑体"/>
          <w:b w:val="0"/>
          <w:bCs w:val="0"/>
          <w:color w:val="000000"/>
          <w:spacing w:val="80"/>
          <w:sz w:val="32"/>
          <w:szCs w:val="32"/>
          <w:lang w:val="en-US" w:eastAsia="en-US" w:bidi="ar-SA"/>
        </w:rPr>
        <w:t xml:space="preserve"> </w:t>
      </w:r>
      <w:r>
        <w:rPr>
          <w:rFonts w:hint="eastAsia" w:ascii="黑体" w:hAnsi="黑体" w:eastAsia="黑体" w:cs="黑体"/>
          <w:b w:val="0"/>
          <w:bCs w:val="0"/>
          <w:color w:val="000000"/>
          <w:sz w:val="32"/>
          <w:szCs w:val="32"/>
          <w:lang w:val="en-US" w:eastAsia="en-US" w:bidi="ar-SA"/>
        </w:rPr>
        <w:t>则</w:t>
      </w:r>
    </w:p>
    <w:p w14:paraId="40FD495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20" w:firstLineChars="200"/>
        <w:textAlignment w:val="auto"/>
        <w:rPr>
          <w:rFonts w:hint="eastAsia" w:ascii="仿宋_GB2312" w:hAnsi="仿宋_GB2312" w:eastAsia="仿宋_GB2312" w:cs="仿宋_GB2312"/>
          <w:b w:val="0"/>
          <w:bCs w:val="0"/>
          <w:color w:val="000000"/>
          <w:sz w:val="32"/>
          <w:szCs w:val="32"/>
          <w:lang w:val="en-US" w:eastAsia="en-US" w:bidi="ar-SA"/>
        </w:rPr>
      </w:pPr>
      <w:r>
        <w:rPr>
          <w:rFonts w:hint="eastAsia" w:ascii="黑体" w:hAnsi="黑体" w:eastAsia="黑体" w:cs="黑体"/>
          <w:b w:val="0"/>
          <w:bCs w:val="0"/>
          <w:color w:val="000000"/>
          <w:spacing w:val="-5"/>
          <w:sz w:val="32"/>
          <w:szCs w:val="32"/>
          <w:lang w:val="en-US" w:eastAsia="zh-CN" w:bidi="ar-SA"/>
        </w:rPr>
        <w:t>第一条</w:t>
      </w:r>
      <w:r>
        <w:rPr>
          <w:rFonts w:hint="eastAsia" w:ascii="仿宋_GB2312" w:hAnsi="仿宋_GB2312" w:eastAsia="仿宋_GB2312" w:cs="仿宋_GB2312"/>
          <w:b w:val="0"/>
          <w:bCs w:val="0"/>
          <w:color w:val="000000"/>
          <w:spacing w:val="9"/>
          <w:sz w:val="32"/>
          <w:szCs w:val="32"/>
          <w:lang w:val="en-US" w:eastAsia="zh-CN" w:bidi="ar-SA"/>
        </w:rPr>
        <w:t xml:space="preserve"> </w:t>
      </w:r>
      <w:r>
        <w:rPr>
          <w:rFonts w:hint="eastAsia" w:ascii="仿宋_GB2312" w:hAnsi="仿宋_GB2312" w:eastAsia="仿宋_GB2312" w:cs="仿宋_GB2312"/>
          <w:b w:val="0"/>
          <w:bCs w:val="0"/>
          <w:color w:val="000000"/>
          <w:spacing w:val="-5"/>
          <w:sz w:val="32"/>
          <w:szCs w:val="32"/>
          <w:lang w:val="en-US" w:eastAsia="en-US" w:bidi="ar-SA"/>
        </w:rPr>
        <w:t>为</w:t>
      </w:r>
      <w:r>
        <w:rPr>
          <w:rFonts w:hint="eastAsia" w:cs="仿宋_GB2312"/>
          <w:b w:val="0"/>
          <w:bCs w:val="0"/>
          <w:color w:val="000000"/>
          <w:spacing w:val="-5"/>
          <w:sz w:val="32"/>
          <w:szCs w:val="32"/>
          <w:lang w:val="en-US" w:eastAsia="zh-CN" w:bidi="ar-SA"/>
        </w:rPr>
        <w:t>规范小额贷款公司经营行为，加强对全省小额贷款公司监督管理，</w:t>
      </w:r>
      <w:r>
        <w:rPr>
          <w:rFonts w:hint="eastAsia" w:ascii="仿宋_GB2312" w:hAnsi="仿宋_GB2312" w:eastAsia="仿宋_GB2312" w:cs="仿宋_GB2312"/>
          <w:b w:val="0"/>
          <w:bCs w:val="0"/>
          <w:color w:val="000000"/>
          <w:spacing w:val="-5"/>
          <w:sz w:val="32"/>
          <w:szCs w:val="32"/>
          <w:lang w:val="en-US" w:eastAsia="en-US" w:bidi="ar-SA"/>
        </w:rPr>
        <w:t>健全和完善小额贷款公司风险监管体系，实现对</w:t>
      </w:r>
      <w:r>
        <w:rPr>
          <w:rFonts w:hint="eastAsia" w:ascii="仿宋_GB2312" w:hAnsi="仿宋_GB2312" w:eastAsia="仿宋_GB2312" w:cs="仿宋_GB2312"/>
          <w:b w:val="0"/>
          <w:bCs w:val="0"/>
          <w:color w:val="000000"/>
          <w:spacing w:val="-4"/>
          <w:sz w:val="32"/>
          <w:szCs w:val="32"/>
          <w:lang w:val="en-US" w:eastAsia="en-US" w:bidi="ar-SA"/>
        </w:rPr>
        <w:t>小额贷款公司的有效监管、分类监管和风险预警，引导小额贷款公司更好地服务小微企业和“三农”，促进其依法合规经营、持续规范发展，根据《关于小额贷款公司试点的指导意见》（银监</w:t>
      </w:r>
      <w:r>
        <w:rPr>
          <w:rFonts w:hint="eastAsia" w:ascii="仿宋_GB2312" w:hAnsi="仿宋_GB2312" w:eastAsia="仿宋_GB2312" w:cs="仿宋_GB2312"/>
          <w:b w:val="0"/>
          <w:bCs w:val="0"/>
          <w:color w:val="000000"/>
          <w:spacing w:val="2"/>
          <w:sz w:val="32"/>
          <w:szCs w:val="32"/>
          <w:lang w:val="en-US" w:eastAsia="en-US" w:bidi="ar-SA"/>
        </w:rPr>
        <w:t>发〔</w:t>
      </w:r>
      <w:r>
        <w:rPr>
          <w:rFonts w:hint="default" w:ascii="Times New Roman" w:hAnsi="Times New Roman" w:eastAsia="仿宋_GB2312" w:cs="Times New Roman"/>
          <w:b w:val="0"/>
          <w:bCs w:val="0"/>
          <w:color w:val="000000"/>
          <w:spacing w:val="2"/>
          <w:sz w:val="32"/>
          <w:szCs w:val="32"/>
          <w:lang w:val="en-US" w:eastAsia="zh-CN" w:bidi="ar-SA"/>
        </w:rPr>
        <w:t>2008</w:t>
      </w:r>
      <w:r>
        <w:rPr>
          <w:rFonts w:hint="eastAsia" w:ascii="仿宋_GB2312" w:hAnsi="仿宋_GB2312" w:eastAsia="仿宋_GB2312" w:cs="仿宋_GB2312"/>
          <w:b w:val="0"/>
          <w:bCs w:val="0"/>
          <w:color w:val="000000"/>
          <w:spacing w:val="2"/>
          <w:sz w:val="32"/>
          <w:szCs w:val="32"/>
          <w:lang w:val="en-US" w:eastAsia="en-US" w:bidi="ar-SA"/>
        </w:rPr>
        <w:t>〕</w:t>
      </w:r>
      <w:r>
        <w:rPr>
          <w:rFonts w:hint="eastAsia" w:ascii="Times New Roman" w:hAnsi="Times New Roman" w:eastAsia="仿宋_GB2312" w:cs="Times New Roman"/>
          <w:b w:val="0"/>
          <w:bCs w:val="0"/>
          <w:color w:val="000000"/>
          <w:spacing w:val="2"/>
          <w:sz w:val="32"/>
          <w:szCs w:val="32"/>
          <w:lang w:val="en-US" w:eastAsia="en-US" w:bidi="ar-SA"/>
        </w:rPr>
        <w:t>23号</w:t>
      </w:r>
      <w:r>
        <w:rPr>
          <w:rFonts w:hint="eastAsia" w:ascii="仿宋_GB2312" w:hAnsi="仿宋_GB2312" w:eastAsia="仿宋_GB2312" w:cs="仿宋_GB2312"/>
          <w:b w:val="0"/>
          <w:bCs w:val="0"/>
          <w:color w:val="000000"/>
          <w:spacing w:val="5"/>
          <w:sz w:val="32"/>
          <w:szCs w:val="32"/>
          <w:lang w:val="en-US" w:eastAsia="en-US" w:bidi="ar-SA"/>
        </w:rPr>
        <w:t>）</w:t>
      </w:r>
      <w:r>
        <w:rPr>
          <w:rFonts w:hint="eastAsia" w:cs="仿宋_GB2312"/>
          <w:b w:val="0"/>
          <w:bCs w:val="0"/>
          <w:color w:val="000000"/>
          <w:spacing w:val="5"/>
          <w:sz w:val="32"/>
          <w:szCs w:val="32"/>
          <w:lang w:val="en-US" w:eastAsia="zh-CN" w:bidi="ar-SA"/>
        </w:rPr>
        <w:t>、</w:t>
      </w:r>
      <w:r>
        <w:rPr>
          <w:rFonts w:hint="eastAsia" w:cs="仿宋_GB2312"/>
          <w:b w:val="0"/>
          <w:bCs w:val="0"/>
          <w:color w:val="000000"/>
          <w:spacing w:val="-2"/>
          <w:sz w:val="32"/>
          <w:szCs w:val="32"/>
          <w:lang w:val="en-US" w:eastAsia="zh-CN" w:bidi="ar-SA"/>
        </w:rPr>
        <w:t>《小额贷款公司监督管理暂行办法》（金规</w:t>
      </w:r>
      <w:r>
        <w:rPr>
          <w:rFonts w:hint="eastAsia" w:ascii="仿宋_GB2312" w:hAnsi="仿宋_GB2312" w:eastAsia="仿宋_GB2312" w:cs="仿宋_GB2312"/>
          <w:b w:val="0"/>
          <w:bCs w:val="0"/>
          <w:color w:val="000000"/>
          <w:spacing w:val="-1"/>
          <w:sz w:val="32"/>
          <w:szCs w:val="32"/>
          <w:lang w:val="en-US" w:eastAsia="en-US" w:bidi="ar-SA"/>
        </w:rPr>
        <w:t>〔</w:t>
      </w:r>
      <w:r>
        <w:rPr>
          <w:rFonts w:hint="eastAsia" w:ascii="Times New Roman" w:hAnsi="Times New Roman" w:eastAsia="仿宋_GB2312" w:cs="Times New Roman"/>
          <w:b w:val="0"/>
          <w:bCs w:val="0"/>
          <w:color w:val="000000"/>
          <w:spacing w:val="2"/>
          <w:sz w:val="32"/>
          <w:szCs w:val="32"/>
          <w:lang w:val="en-US" w:eastAsia="en-US" w:bidi="ar-SA"/>
        </w:rPr>
        <w:t>20</w:t>
      </w:r>
      <w:r>
        <w:rPr>
          <w:rFonts w:hint="eastAsia" w:ascii="Times New Roman" w:hAnsi="Times New Roman" w:eastAsia="仿宋_GB2312" w:cs="Times New Roman"/>
          <w:b w:val="0"/>
          <w:bCs w:val="0"/>
          <w:color w:val="000000"/>
          <w:spacing w:val="2"/>
          <w:sz w:val="32"/>
          <w:szCs w:val="32"/>
          <w:lang w:val="en-US" w:eastAsia="zh-CN" w:bidi="ar-SA"/>
        </w:rPr>
        <w:t>24</w:t>
      </w:r>
      <w:r>
        <w:rPr>
          <w:rFonts w:hint="eastAsia" w:ascii="Times New Roman" w:hAnsi="Times New Roman" w:eastAsia="仿宋_GB2312" w:cs="Times New Roman"/>
          <w:b w:val="0"/>
          <w:bCs w:val="0"/>
          <w:color w:val="000000"/>
          <w:spacing w:val="2"/>
          <w:sz w:val="32"/>
          <w:szCs w:val="32"/>
          <w:lang w:val="en-US" w:eastAsia="en-US" w:bidi="ar-SA"/>
        </w:rPr>
        <w:t>〕</w:t>
      </w:r>
      <w:r>
        <w:rPr>
          <w:rFonts w:hint="eastAsia" w:ascii="Times New Roman" w:hAnsi="Times New Roman" w:eastAsia="仿宋_GB2312" w:cs="Times New Roman"/>
          <w:b w:val="0"/>
          <w:bCs w:val="0"/>
          <w:color w:val="000000"/>
          <w:spacing w:val="2"/>
          <w:sz w:val="32"/>
          <w:szCs w:val="32"/>
          <w:lang w:val="en-US" w:eastAsia="zh-CN" w:bidi="ar-SA"/>
        </w:rPr>
        <w:t>26</w:t>
      </w:r>
      <w:r>
        <w:rPr>
          <w:rFonts w:hint="eastAsia" w:cs="仿宋_GB2312"/>
          <w:b w:val="0"/>
          <w:bCs w:val="0"/>
          <w:color w:val="000000"/>
          <w:spacing w:val="-1"/>
          <w:sz w:val="32"/>
          <w:szCs w:val="32"/>
          <w:lang w:val="en-US" w:eastAsia="zh-CN" w:bidi="ar-SA"/>
        </w:rPr>
        <w:t>号</w:t>
      </w:r>
      <w:r>
        <w:rPr>
          <w:rFonts w:hint="eastAsia" w:cs="仿宋_GB2312"/>
          <w:b w:val="0"/>
          <w:bCs w:val="0"/>
          <w:color w:val="000000"/>
          <w:spacing w:val="-2"/>
          <w:sz w:val="32"/>
          <w:szCs w:val="32"/>
          <w:lang w:val="en-US" w:eastAsia="zh-CN" w:bidi="ar-SA"/>
        </w:rPr>
        <w:t>）、</w:t>
      </w:r>
      <w:r>
        <w:rPr>
          <w:rFonts w:hint="eastAsia"/>
          <w:b w:val="0"/>
          <w:bCs w:val="0"/>
          <w:lang w:val="en-US" w:eastAsia="zh-CN"/>
        </w:rPr>
        <w:t>《贵州省地方金融监督管理条例》（</w:t>
      </w:r>
      <w:r>
        <w:rPr>
          <w:rFonts w:hint="eastAsia" w:ascii="Times New Roman" w:hAnsi="Times New Roman" w:eastAsia="仿宋_GB2312" w:cs="Times New Roman"/>
          <w:b w:val="0"/>
          <w:bCs w:val="0"/>
          <w:color w:val="000000"/>
          <w:spacing w:val="2"/>
          <w:sz w:val="32"/>
          <w:szCs w:val="32"/>
          <w:lang w:val="en-US" w:eastAsia="zh-CN" w:bidi="ar-SA"/>
        </w:rPr>
        <w:t>2021年9月29日</w:t>
      </w:r>
      <w:r>
        <w:rPr>
          <w:rFonts w:hint="eastAsia"/>
          <w:b w:val="0"/>
          <w:bCs w:val="0"/>
          <w:lang w:val="en-US" w:eastAsia="zh-CN"/>
        </w:rPr>
        <w:t>经省第十三届人民代表大会常务委员会</w:t>
      </w:r>
      <w:r>
        <w:rPr>
          <w:rFonts w:hint="eastAsia" w:ascii="Times New Roman" w:hAnsi="Times New Roman" w:eastAsia="仿宋_GB2312" w:cs="Times New Roman"/>
          <w:b w:val="0"/>
          <w:bCs w:val="0"/>
          <w:color w:val="000000"/>
          <w:spacing w:val="2"/>
          <w:sz w:val="32"/>
          <w:szCs w:val="32"/>
          <w:lang w:val="en-US" w:eastAsia="zh-CN" w:bidi="ar-SA"/>
        </w:rPr>
        <w:t>第28次</w:t>
      </w:r>
      <w:r>
        <w:rPr>
          <w:rFonts w:hint="eastAsia"/>
          <w:b w:val="0"/>
          <w:bCs w:val="0"/>
          <w:lang w:val="en-US" w:eastAsia="zh-CN"/>
        </w:rPr>
        <w:t>会议通过）、</w:t>
      </w:r>
      <w:r>
        <w:rPr>
          <w:rFonts w:hint="eastAsia" w:ascii="仿宋_GB2312" w:hAnsi="仿宋_GB2312" w:eastAsia="仿宋_GB2312" w:cs="仿宋_GB2312"/>
          <w:b w:val="0"/>
          <w:bCs w:val="0"/>
          <w:color w:val="000000"/>
          <w:spacing w:val="5"/>
          <w:sz w:val="32"/>
          <w:szCs w:val="32"/>
          <w:lang w:val="en-US" w:eastAsia="en-US" w:bidi="ar-SA"/>
        </w:rPr>
        <w:t>《贵州省小额贷款</w:t>
      </w:r>
      <w:r>
        <w:rPr>
          <w:rFonts w:hint="eastAsia" w:ascii="仿宋_GB2312" w:hAnsi="仿宋_GB2312" w:eastAsia="仿宋_GB2312" w:cs="仿宋_GB2312"/>
          <w:b w:val="0"/>
          <w:bCs w:val="0"/>
          <w:color w:val="000000"/>
          <w:spacing w:val="-1"/>
          <w:sz w:val="32"/>
          <w:szCs w:val="32"/>
          <w:lang w:val="en-US" w:eastAsia="en-US" w:bidi="ar-SA"/>
        </w:rPr>
        <w:t>公司管理暂行办法》（黔府办函</w:t>
      </w:r>
      <w:r>
        <w:rPr>
          <w:rFonts w:hint="eastAsia" w:ascii="Times New Roman" w:hAnsi="Times New Roman" w:eastAsia="仿宋_GB2312" w:cs="Times New Roman"/>
          <w:b w:val="0"/>
          <w:bCs w:val="0"/>
          <w:color w:val="000000"/>
          <w:spacing w:val="2"/>
          <w:sz w:val="32"/>
          <w:szCs w:val="32"/>
          <w:lang w:val="en-US" w:eastAsia="en-US" w:bidi="ar-SA"/>
        </w:rPr>
        <w:t>〔2018〕184</w:t>
      </w:r>
      <w:r>
        <w:rPr>
          <w:rFonts w:hint="eastAsia" w:ascii="仿宋_GB2312" w:hAnsi="仿宋_GB2312" w:eastAsia="仿宋_GB2312" w:cs="仿宋_GB2312"/>
          <w:b w:val="0"/>
          <w:bCs w:val="0"/>
          <w:color w:val="000000"/>
          <w:spacing w:val="-2"/>
          <w:sz w:val="32"/>
          <w:szCs w:val="32"/>
          <w:lang w:val="en-US" w:eastAsia="en-US" w:bidi="ar-SA"/>
        </w:rPr>
        <w:t>号）等</w:t>
      </w:r>
      <w:r>
        <w:rPr>
          <w:rFonts w:hint="eastAsia" w:cs="仿宋_GB2312"/>
          <w:b w:val="0"/>
          <w:bCs w:val="0"/>
          <w:color w:val="000000"/>
          <w:spacing w:val="-2"/>
          <w:sz w:val="32"/>
          <w:szCs w:val="32"/>
          <w:lang w:val="en-US" w:eastAsia="zh-CN" w:bidi="ar-SA"/>
        </w:rPr>
        <w:t>国家及省有关</w:t>
      </w:r>
      <w:r>
        <w:rPr>
          <w:rFonts w:hint="eastAsia" w:ascii="仿宋_GB2312" w:hAnsi="仿宋_GB2312" w:eastAsia="仿宋_GB2312" w:cs="仿宋_GB2312"/>
          <w:b w:val="0"/>
          <w:bCs w:val="0"/>
          <w:color w:val="000000"/>
          <w:spacing w:val="-2"/>
          <w:sz w:val="32"/>
          <w:szCs w:val="32"/>
          <w:lang w:val="en-US" w:eastAsia="en-US" w:bidi="ar-SA"/>
        </w:rPr>
        <w:t>规定，</w:t>
      </w:r>
      <w:r>
        <w:rPr>
          <w:rFonts w:hint="eastAsia" w:cs="仿宋_GB2312"/>
          <w:b w:val="0"/>
          <w:bCs w:val="0"/>
          <w:color w:val="000000"/>
          <w:spacing w:val="-2"/>
          <w:sz w:val="32"/>
          <w:szCs w:val="32"/>
          <w:lang w:val="en-US" w:eastAsia="zh-CN" w:bidi="ar-SA"/>
        </w:rPr>
        <w:t>结合本省实际，</w:t>
      </w:r>
      <w:r>
        <w:rPr>
          <w:rFonts w:hint="eastAsia" w:ascii="仿宋_GB2312" w:hAnsi="仿宋_GB2312" w:eastAsia="仿宋_GB2312" w:cs="仿宋_GB2312"/>
          <w:b w:val="0"/>
          <w:bCs w:val="0"/>
          <w:color w:val="000000"/>
          <w:spacing w:val="-2"/>
          <w:sz w:val="32"/>
          <w:szCs w:val="32"/>
          <w:lang w:val="en-US" w:eastAsia="en-US" w:bidi="ar-SA"/>
        </w:rPr>
        <w:t>制定</w:t>
      </w:r>
      <w:r>
        <w:rPr>
          <w:rFonts w:hint="eastAsia" w:ascii="仿宋_GB2312" w:hAnsi="仿宋_GB2312" w:eastAsia="仿宋_GB2312" w:cs="仿宋_GB2312"/>
          <w:b w:val="0"/>
          <w:bCs w:val="0"/>
          <w:color w:val="000000"/>
          <w:sz w:val="32"/>
          <w:szCs w:val="32"/>
          <w:lang w:val="en-US" w:eastAsia="en-US" w:bidi="ar-SA"/>
        </w:rPr>
        <w:t>本办法。</w:t>
      </w:r>
    </w:p>
    <w:p w14:paraId="7E5A3B8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cs="仿宋_GB2312"/>
          <w:b w:val="0"/>
          <w:bCs w:val="0"/>
          <w:strike w:val="0"/>
          <w:color w:val="000000"/>
          <w:sz w:val="32"/>
          <w:szCs w:val="32"/>
          <w:lang w:val="en-US" w:eastAsia="zh-CN" w:bidi="ar-SA"/>
        </w:rPr>
      </w:pPr>
      <w:r>
        <w:rPr>
          <w:rFonts w:hint="eastAsia" w:ascii="黑体" w:hAnsi="黑体" w:eastAsia="黑体" w:cs="黑体"/>
          <w:b w:val="0"/>
          <w:bCs w:val="0"/>
          <w:strike w:val="0"/>
          <w:color w:val="000000"/>
          <w:sz w:val="32"/>
          <w:szCs w:val="32"/>
          <w:lang w:val="en-US" w:eastAsia="zh-CN" w:bidi="ar-SA"/>
        </w:rPr>
        <w:t>第二条</w:t>
      </w:r>
      <w:r>
        <w:rPr>
          <w:rFonts w:hint="eastAsia" w:cs="仿宋_GB2312"/>
          <w:b w:val="0"/>
          <w:bCs w:val="0"/>
          <w:strike w:val="0"/>
          <w:color w:val="000000"/>
          <w:sz w:val="32"/>
          <w:szCs w:val="32"/>
          <w:lang w:val="en-US" w:eastAsia="zh-CN" w:bidi="ar-SA"/>
        </w:rPr>
        <w:t xml:space="preserve"> 本办法所称小额贷款公司，是指在本省行政区域内依法设立的，不吸收公众存款，主要经营小额贷款业务的地方金融组织。</w:t>
      </w:r>
    </w:p>
    <w:p w14:paraId="0A3CB14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cs="仿宋_GB2312"/>
          <w:b w:val="0"/>
          <w:bCs w:val="0"/>
          <w:strike w:val="0"/>
          <w:color w:val="000000"/>
          <w:sz w:val="32"/>
          <w:szCs w:val="32"/>
          <w:lang w:val="en-US" w:eastAsia="zh-CN" w:bidi="ar-SA"/>
        </w:rPr>
      </w:pPr>
      <w:r>
        <w:rPr>
          <w:rFonts w:hint="eastAsia" w:cs="仿宋_GB2312"/>
          <w:b w:val="0"/>
          <w:bCs w:val="0"/>
          <w:strike w:val="0"/>
          <w:color w:val="000000"/>
          <w:sz w:val="32"/>
          <w:szCs w:val="32"/>
          <w:lang w:val="en-US" w:eastAsia="zh-CN" w:bidi="ar-SA"/>
        </w:rPr>
        <w:t>本办法所称网络小额贷款公司，是指从事网络贷款业务的小额贷款公司。</w:t>
      </w:r>
    </w:p>
    <w:p w14:paraId="276D166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第三条</w:t>
      </w:r>
      <w:r>
        <w:rPr>
          <w:rFonts w:hint="eastAsia"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本办法所称分类监管评级审查（以下简称“监管评级”），是指地方金融管理部门依据</w:t>
      </w:r>
      <w:r>
        <w:rPr>
          <w:rFonts w:hint="eastAsia" w:cs="仿宋_GB2312"/>
          <w:b w:val="0"/>
          <w:bCs w:val="0"/>
          <w:sz w:val="32"/>
          <w:szCs w:val="32"/>
          <w:lang w:val="en-US" w:eastAsia="zh-CN"/>
        </w:rPr>
        <w:t>小额贷款公司</w:t>
      </w:r>
      <w:r>
        <w:rPr>
          <w:rFonts w:hint="eastAsia" w:ascii="仿宋_GB2312" w:hAnsi="仿宋_GB2312" w:eastAsia="仿宋_GB2312" w:cs="仿宋_GB2312"/>
          <w:b w:val="0"/>
          <w:bCs w:val="0"/>
          <w:sz w:val="32"/>
          <w:szCs w:val="32"/>
          <w:lang w:val="en-US" w:eastAsia="zh-CN"/>
        </w:rPr>
        <w:t>所申报的数据资料，通过综合运用现场检查、非现场监管等</w:t>
      </w:r>
      <w:r>
        <w:rPr>
          <w:rFonts w:hint="eastAsia" w:cs="仿宋_GB2312"/>
          <w:b w:val="0"/>
          <w:bCs w:val="0"/>
          <w:sz w:val="32"/>
          <w:szCs w:val="32"/>
          <w:lang w:val="en-US" w:eastAsia="zh-CN"/>
        </w:rPr>
        <w:t>监管措施</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kern w:val="2"/>
          <w:sz w:val="32"/>
          <w:lang w:val="en-US" w:eastAsia="zh-CN"/>
        </w:rPr>
        <w:t>对</w:t>
      </w:r>
      <w:r>
        <w:rPr>
          <w:rFonts w:hint="eastAsia" w:ascii="仿宋_GB2312" w:hAnsi="仿宋_GB2312" w:cs="仿宋_GB2312"/>
          <w:b w:val="0"/>
          <w:bCs w:val="0"/>
          <w:color w:val="auto"/>
          <w:kern w:val="2"/>
          <w:sz w:val="32"/>
          <w:lang w:val="en-US" w:eastAsia="zh-CN"/>
        </w:rPr>
        <w:t>小额贷款</w:t>
      </w:r>
      <w:r>
        <w:rPr>
          <w:rFonts w:hint="eastAsia" w:cs="仿宋_GB2312"/>
          <w:b w:val="0"/>
          <w:bCs w:val="0"/>
          <w:color w:val="auto"/>
          <w:kern w:val="2"/>
          <w:sz w:val="32"/>
          <w:lang w:val="en-US" w:eastAsia="zh-CN"/>
        </w:rPr>
        <w:t>公司的公司</w:t>
      </w:r>
      <w:r>
        <w:rPr>
          <w:rFonts w:hint="eastAsia" w:ascii="仿宋_GB2312" w:hAnsi="仿宋_GB2312" w:eastAsia="仿宋_GB2312" w:cs="仿宋_GB2312"/>
          <w:b w:val="0"/>
          <w:bCs w:val="0"/>
          <w:color w:val="auto"/>
          <w:kern w:val="2"/>
          <w:sz w:val="32"/>
        </w:rPr>
        <w:t>治理</w:t>
      </w:r>
      <w:r>
        <w:rPr>
          <w:rFonts w:hint="eastAsia" w:ascii="仿宋_GB2312" w:hAnsi="仿宋_GB2312" w:eastAsia="仿宋_GB2312" w:cs="仿宋_GB2312"/>
          <w:b w:val="0"/>
          <w:bCs w:val="0"/>
          <w:color w:val="auto"/>
          <w:kern w:val="2"/>
          <w:sz w:val="32"/>
          <w:lang w:eastAsia="zh-CN"/>
        </w:rPr>
        <w:t>、</w:t>
      </w:r>
      <w:r>
        <w:rPr>
          <w:rFonts w:hint="eastAsia" w:ascii="仿宋_GB2312" w:hAnsi="仿宋_GB2312" w:cs="仿宋_GB2312"/>
          <w:b w:val="0"/>
          <w:bCs w:val="0"/>
          <w:color w:val="auto"/>
          <w:kern w:val="2"/>
          <w:sz w:val="32"/>
          <w:lang w:val="en-US" w:eastAsia="zh-CN"/>
        </w:rPr>
        <w:t>财务管理、</w:t>
      </w:r>
      <w:r>
        <w:rPr>
          <w:rFonts w:hint="eastAsia" w:eastAsia="仿宋_GB2312" w:cs="仿宋_GB2312"/>
          <w:b w:val="0"/>
          <w:bCs w:val="0"/>
          <w:color w:val="auto"/>
          <w:kern w:val="2"/>
          <w:sz w:val="32"/>
          <w:lang w:val="en-US" w:eastAsia="zh-CN"/>
        </w:rPr>
        <w:t>业务</w:t>
      </w:r>
      <w:r>
        <w:rPr>
          <w:rFonts w:hint="eastAsia" w:ascii="仿宋_GB2312" w:hAnsi="仿宋_GB2312" w:eastAsia="仿宋_GB2312" w:cs="仿宋_GB2312"/>
          <w:b w:val="0"/>
          <w:bCs w:val="0"/>
          <w:color w:val="auto"/>
          <w:kern w:val="2"/>
          <w:sz w:val="32"/>
          <w:lang w:eastAsia="zh-CN"/>
        </w:rPr>
        <w:t>经营</w:t>
      </w:r>
      <w:r>
        <w:rPr>
          <w:rFonts w:hint="eastAsia" w:ascii="仿宋_GB2312" w:hAnsi="仿宋_GB2312" w:cs="仿宋_GB2312"/>
          <w:b w:val="0"/>
          <w:bCs w:val="0"/>
          <w:color w:val="auto"/>
          <w:kern w:val="2"/>
          <w:sz w:val="32"/>
          <w:lang w:val="en-US" w:eastAsia="zh-CN"/>
        </w:rPr>
        <w:t>和</w:t>
      </w:r>
      <w:r>
        <w:rPr>
          <w:rFonts w:hint="eastAsia" w:ascii="仿宋_GB2312" w:hAnsi="仿宋_GB2312" w:eastAsia="仿宋_GB2312" w:cs="仿宋_GB2312"/>
          <w:b w:val="0"/>
          <w:bCs w:val="0"/>
          <w:color w:val="auto"/>
          <w:sz w:val="32"/>
          <w:szCs w:val="32"/>
          <w:lang w:val="en-US" w:eastAsia="zh-CN"/>
        </w:rPr>
        <w:t>风险</w:t>
      </w:r>
      <w:r>
        <w:rPr>
          <w:rFonts w:hint="eastAsia" w:ascii="仿宋_GB2312" w:hAnsi="仿宋_GB2312" w:eastAsia="仿宋_GB2312" w:cs="仿宋_GB2312"/>
          <w:b w:val="0"/>
          <w:bCs w:val="0"/>
          <w:color w:val="auto"/>
          <w:sz w:val="32"/>
          <w:szCs w:val="32"/>
          <w:lang w:eastAsia="zh-CN"/>
        </w:rPr>
        <w:t>防控</w:t>
      </w:r>
      <w:r>
        <w:rPr>
          <w:rFonts w:hint="eastAsia" w:eastAsia="仿宋_GB2312" w:cs="仿宋_GB2312"/>
          <w:b w:val="0"/>
          <w:bCs w:val="0"/>
          <w:color w:val="auto"/>
          <w:sz w:val="32"/>
          <w:szCs w:val="32"/>
          <w:lang w:eastAsia="zh-CN"/>
        </w:rPr>
        <w:t>、</w:t>
      </w:r>
      <w:r>
        <w:rPr>
          <w:rFonts w:hint="eastAsia" w:eastAsia="仿宋_GB2312" w:cs="仿宋_GB2312"/>
          <w:b w:val="0"/>
          <w:bCs w:val="0"/>
          <w:color w:val="auto"/>
          <w:sz w:val="32"/>
          <w:szCs w:val="32"/>
          <w:lang w:val="en-US" w:eastAsia="zh-CN"/>
        </w:rPr>
        <w:t>社会</w:t>
      </w:r>
      <w:r>
        <w:rPr>
          <w:rFonts w:hint="eastAsia" w:cs="仿宋_GB2312"/>
          <w:b w:val="0"/>
          <w:bCs w:val="0"/>
          <w:color w:val="auto"/>
          <w:sz w:val="32"/>
          <w:szCs w:val="32"/>
          <w:lang w:val="en-US" w:eastAsia="zh-CN"/>
        </w:rPr>
        <w:t>责任、</w:t>
      </w:r>
      <w:r>
        <w:rPr>
          <w:rFonts w:hint="eastAsia" w:eastAsia="仿宋_GB2312" w:cs="仿宋_GB2312"/>
          <w:b w:val="0"/>
          <w:bCs w:val="0"/>
          <w:color w:val="auto"/>
          <w:sz w:val="32"/>
          <w:szCs w:val="32"/>
          <w:lang w:val="en-US" w:eastAsia="zh-CN"/>
        </w:rPr>
        <w:t>配合</w:t>
      </w:r>
      <w:r>
        <w:rPr>
          <w:rFonts w:hint="eastAsia" w:eastAsia="仿宋_GB2312" w:cs="仿宋_GB2312"/>
          <w:b w:val="0"/>
          <w:bCs w:val="0"/>
          <w:color w:val="auto"/>
          <w:sz w:val="32"/>
          <w:szCs w:val="32"/>
          <w:lang w:eastAsia="zh-CN"/>
        </w:rPr>
        <w:t>监管</w:t>
      </w:r>
      <w:r>
        <w:rPr>
          <w:rFonts w:hint="eastAsia" w:cs="仿宋_GB2312"/>
          <w:b w:val="0"/>
          <w:bCs w:val="0"/>
          <w:color w:val="auto"/>
          <w:sz w:val="32"/>
          <w:szCs w:val="32"/>
          <w:lang w:eastAsia="zh-CN"/>
        </w:rPr>
        <w:t>、</w:t>
      </w:r>
      <w:r>
        <w:rPr>
          <w:rFonts w:hint="eastAsia" w:cs="仿宋_GB2312"/>
          <w:b w:val="0"/>
          <w:bCs w:val="0"/>
          <w:color w:val="auto"/>
          <w:sz w:val="32"/>
          <w:szCs w:val="32"/>
          <w:lang w:val="en-US" w:eastAsia="zh-CN"/>
        </w:rPr>
        <w:t>行业自律评价</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eastAsia="zh-CN"/>
        </w:rPr>
        <w:t>方面</w:t>
      </w:r>
      <w:r>
        <w:rPr>
          <w:rFonts w:hint="eastAsia" w:ascii="仿宋_GB2312" w:hAnsi="仿宋_GB2312" w:eastAsia="仿宋_GB2312" w:cs="仿宋_GB2312"/>
          <w:b w:val="0"/>
          <w:bCs w:val="0"/>
          <w:sz w:val="32"/>
          <w:szCs w:val="32"/>
          <w:lang w:val="en-US" w:eastAsia="zh-CN"/>
        </w:rPr>
        <w:t>开展的监管评级工作，根据不同</w:t>
      </w:r>
      <w:r>
        <w:rPr>
          <w:rFonts w:hint="eastAsia" w:cs="仿宋_GB2312"/>
          <w:b w:val="0"/>
          <w:bCs w:val="0"/>
          <w:sz w:val="32"/>
          <w:szCs w:val="32"/>
          <w:lang w:val="en-US" w:eastAsia="zh-CN"/>
        </w:rPr>
        <w:t>评级结果</w:t>
      </w:r>
      <w:r>
        <w:rPr>
          <w:rFonts w:hint="eastAsia" w:ascii="仿宋_GB2312" w:hAnsi="仿宋_GB2312" w:eastAsia="仿宋_GB2312" w:cs="仿宋_GB2312"/>
          <w:b w:val="0"/>
          <w:bCs w:val="0"/>
          <w:sz w:val="32"/>
          <w:szCs w:val="32"/>
          <w:lang w:val="en-US" w:eastAsia="zh-CN"/>
        </w:rPr>
        <w:t>采取针对性分类监管措施，</w:t>
      </w:r>
      <w:r>
        <w:rPr>
          <w:rFonts w:hint="eastAsia" w:cs="仿宋_GB2312"/>
          <w:b w:val="0"/>
          <w:bCs w:val="0"/>
          <w:sz w:val="32"/>
          <w:szCs w:val="32"/>
          <w:lang w:val="en-US" w:eastAsia="zh-CN"/>
        </w:rPr>
        <w:t>以提升</w:t>
      </w:r>
      <w:r>
        <w:rPr>
          <w:rFonts w:hint="eastAsia" w:ascii="仿宋_GB2312" w:hAnsi="仿宋_GB2312" w:eastAsia="仿宋_GB2312" w:cs="仿宋_GB2312"/>
          <w:b w:val="0"/>
          <w:bCs w:val="0"/>
          <w:sz w:val="32"/>
          <w:szCs w:val="32"/>
          <w:lang w:val="en-US" w:eastAsia="zh-CN"/>
        </w:rPr>
        <w:t>监管工作的精准性和有效性。</w:t>
      </w:r>
    </w:p>
    <w:p w14:paraId="491AA48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cs="仿宋_GB2312"/>
          <w:b w:val="0"/>
          <w:bCs w:val="0"/>
          <w:strike w:val="0"/>
          <w:color w:val="000000"/>
          <w:sz w:val="32"/>
          <w:szCs w:val="32"/>
          <w:lang w:val="en-US" w:eastAsia="zh-CN" w:bidi="ar-SA"/>
        </w:rPr>
      </w:pPr>
      <w:r>
        <w:rPr>
          <w:rFonts w:hint="eastAsia" w:ascii="黑体" w:hAnsi="黑体" w:eastAsia="黑体" w:cs="黑体"/>
          <w:b w:val="0"/>
          <w:bCs w:val="0"/>
          <w:sz w:val="32"/>
          <w:szCs w:val="32"/>
          <w:lang w:val="en-US" w:eastAsia="zh-CN"/>
        </w:rPr>
        <w:t>第四条</w:t>
      </w:r>
      <w:r>
        <w:rPr>
          <w:rFonts w:hint="eastAsia" w:ascii="黑体" w:hAnsi="黑体" w:eastAsia="黑体" w:cs="黑体"/>
          <w:b w:val="0"/>
          <w:bCs w:val="0"/>
          <w:color w:val="000000"/>
          <w:spacing w:val="9"/>
          <w:sz w:val="32"/>
          <w:szCs w:val="32"/>
          <w:lang w:val="en-US" w:eastAsia="zh-CN" w:bidi="ar-SA"/>
        </w:rPr>
        <w:t xml:space="preserve"> </w:t>
      </w:r>
      <w:r>
        <w:rPr>
          <w:rFonts w:hint="eastAsia" w:ascii="仿宋_GB2312" w:hAnsi="仿宋_GB2312" w:eastAsia="仿宋_GB2312" w:cs="仿宋_GB2312"/>
          <w:b w:val="0"/>
          <w:bCs w:val="0"/>
          <w:color w:val="000000"/>
          <w:spacing w:val="0"/>
          <w:sz w:val="32"/>
          <w:szCs w:val="32"/>
          <w:lang w:val="en-US" w:eastAsia="zh-CN" w:bidi="ar-SA"/>
        </w:rPr>
        <w:t>本省行政区域内同时符合下列情形的</w:t>
      </w:r>
      <w:r>
        <w:rPr>
          <w:rFonts w:hint="eastAsia" w:cs="仿宋_GB2312"/>
          <w:b w:val="0"/>
          <w:bCs w:val="0"/>
          <w:strike w:val="0"/>
          <w:color w:val="000000"/>
          <w:sz w:val="32"/>
          <w:szCs w:val="32"/>
          <w:lang w:val="en-US" w:eastAsia="zh-CN" w:bidi="ar-SA"/>
        </w:rPr>
        <w:t>小额贷款公司，均应当参加地方金融管理部门组织开展的活动。</w:t>
      </w:r>
    </w:p>
    <w:p w14:paraId="18E4C5B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76" w:firstLineChars="200"/>
        <w:textAlignment w:val="auto"/>
        <w:rPr>
          <w:rFonts w:hint="eastAsia" w:cs="仿宋_GB2312"/>
          <w:b w:val="0"/>
          <w:bCs w:val="0"/>
          <w:strike w:val="0"/>
          <w:color w:val="000000"/>
          <w:sz w:val="32"/>
          <w:szCs w:val="32"/>
          <w:lang w:val="en-US" w:eastAsia="zh-CN" w:bidi="ar-SA"/>
        </w:rPr>
      </w:pPr>
      <w:r>
        <w:rPr>
          <w:rFonts w:hint="eastAsia" w:ascii="黑体" w:hAnsi="黑体" w:eastAsia="黑体" w:cs="黑体"/>
          <w:b w:val="0"/>
          <w:bCs w:val="0"/>
          <w:color w:val="000000"/>
          <w:spacing w:val="9"/>
          <w:sz w:val="32"/>
          <w:szCs w:val="32"/>
          <w:lang w:val="en-US" w:eastAsia="zh-CN" w:bidi="ar-SA"/>
        </w:rPr>
        <w:t xml:space="preserve">第五条 </w:t>
      </w:r>
      <w:r>
        <w:rPr>
          <w:rFonts w:hint="eastAsia" w:ascii="仿宋_GB2312" w:hAnsi="仿宋_GB2312" w:eastAsia="仿宋_GB2312" w:cs="仿宋_GB2312"/>
          <w:b w:val="0"/>
          <w:bCs w:val="0"/>
          <w:color w:val="000000"/>
          <w:spacing w:val="0"/>
          <w:sz w:val="32"/>
          <w:szCs w:val="32"/>
          <w:lang w:val="en-US" w:eastAsia="zh-CN" w:bidi="ar-SA"/>
        </w:rPr>
        <w:t>本省行政区域内同时符合下列情形的</w:t>
      </w:r>
      <w:r>
        <w:rPr>
          <w:rFonts w:hint="eastAsia" w:cs="仿宋_GB2312"/>
          <w:b w:val="0"/>
          <w:bCs w:val="0"/>
          <w:strike w:val="0"/>
          <w:color w:val="000000"/>
          <w:sz w:val="32"/>
          <w:szCs w:val="32"/>
          <w:lang w:val="en-US" w:eastAsia="zh-CN" w:bidi="ar-SA"/>
        </w:rPr>
        <w:t>小额贷款公司，均应当参加分类监管评级审查：</w:t>
      </w:r>
    </w:p>
    <w:p w14:paraId="05351C4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cs="仿宋_GB2312"/>
          <w:b w:val="0"/>
          <w:bCs w:val="0"/>
          <w:strike w:val="0"/>
          <w:color w:val="000000"/>
          <w:sz w:val="32"/>
          <w:szCs w:val="32"/>
          <w:lang w:val="en-US" w:eastAsia="zh-CN" w:bidi="ar-SA"/>
        </w:rPr>
      </w:pPr>
      <w:r>
        <w:rPr>
          <w:rFonts w:hint="eastAsia" w:cs="仿宋_GB2312"/>
          <w:b w:val="0"/>
          <w:bCs w:val="0"/>
          <w:strike w:val="0"/>
          <w:color w:val="000000"/>
          <w:sz w:val="32"/>
          <w:szCs w:val="32"/>
          <w:lang w:val="en-US" w:eastAsia="zh-CN" w:bidi="ar-SA"/>
        </w:rPr>
        <w:t>（一）开业至少满一个完整会计年度；</w:t>
      </w:r>
    </w:p>
    <w:p w14:paraId="015378B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default" w:ascii="仿宋_GB2312" w:hAnsi="仿宋_GB2312" w:eastAsia="仿宋_GB2312" w:cs="仿宋_GB2312"/>
          <w:b w:val="0"/>
          <w:bCs w:val="0"/>
          <w:strike w:val="0"/>
          <w:color w:val="000000"/>
          <w:sz w:val="32"/>
          <w:szCs w:val="32"/>
          <w:lang w:val="en-US" w:eastAsia="zh-CN" w:bidi="ar-SA"/>
        </w:rPr>
      </w:pPr>
      <w:r>
        <w:rPr>
          <w:rFonts w:hint="eastAsia" w:cs="仿宋_GB2312"/>
          <w:b w:val="0"/>
          <w:bCs w:val="0"/>
          <w:strike w:val="0"/>
          <w:color w:val="000000"/>
          <w:sz w:val="32"/>
          <w:szCs w:val="32"/>
          <w:lang w:val="en-US" w:eastAsia="zh-CN" w:bidi="ar-SA"/>
        </w:rPr>
        <w:t>（二）已通过上一次监管评级（本项不适用于首次参加监管评级）。</w:t>
      </w:r>
    </w:p>
    <w:p w14:paraId="4A9B8B3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8" w:firstLineChars="200"/>
        <w:textAlignment w:val="auto"/>
        <w:rPr>
          <w:rFonts w:hint="eastAsia" w:ascii="仿宋_GB2312" w:hAnsi="仿宋_GB2312" w:eastAsia="仿宋_GB2312" w:cs="仿宋_GB2312"/>
          <w:b w:val="0"/>
          <w:bCs w:val="0"/>
          <w:color w:val="000000"/>
          <w:sz w:val="32"/>
          <w:szCs w:val="32"/>
          <w:lang w:val="en-US" w:eastAsia="zh-CN" w:bidi="ar-SA"/>
        </w:rPr>
      </w:pPr>
      <w:r>
        <w:rPr>
          <w:rFonts w:hint="eastAsia" w:ascii="黑体" w:hAnsi="黑体" w:eastAsia="黑体" w:cs="黑体"/>
          <w:b w:val="0"/>
          <w:bCs w:val="0"/>
          <w:color w:val="000000"/>
          <w:spacing w:val="2"/>
          <w:sz w:val="32"/>
          <w:szCs w:val="32"/>
          <w:lang w:val="en-US" w:eastAsia="en-US" w:bidi="ar-SA"/>
        </w:rPr>
        <w:t>第</w:t>
      </w:r>
      <w:r>
        <w:rPr>
          <w:rFonts w:hint="eastAsia" w:ascii="黑体" w:hAnsi="黑体" w:eastAsia="黑体" w:cs="黑体"/>
          <w:b w:val="0"/>
          <w:bCs w:val="0"/>
          <w:color w:val="000000"/>
          <w:spacing w:val="2"/>
          <w:sz w:val="32"/>
          <w:szCs w:val="32"/>
          <w:lang w:val="en-US" w:eastAsia="zh-CN" w:bidi="ar-SA"/>
        </w:rPr>
        <w:t>六</w:t>
      </w:r>
      <w:r>
        <w:rPr>
          <w:rFonts w:hint="eastAsia" w:ascii="黑体" w:hAnsi="黑体" w:eastAsia="黑体" w:cs="黑体"/>
          <w:b w:val="0"/>
          <w:bCs w:val="0"/>
          <w:color w:val="000000"/>
          <w:spacing w:val="2"/>
          <w:sz w:val="32"/>
          <w:szCs w:val="32"/>
          <w:lang w:val="en-US" w:eastAsia="en-US" w:bidi="ar-SA"/>
        </w:rPr>
        <w:t>条</w:t>
      </w:r>
      <w:r>
        <w:rPr>
          <w:rFonts w:hint="eastAsia" w:ascii="仿宋_GB2312" w:hAnsi="仿宋_GB2312" w:eastAsia="仿宋_GB2312" w:cs="仿宋_GB2312"/>
          <w:b w:val="0"/>
          <w:bCs w:val="0"/>
          <w:color w:val="000000"/>
          <w:spacing w:val="2"/>
          <w:sz w:val="32"/>
          <w:szCs w:val="32"/>
          <w:lang w:val="en-US" w:eastAsia="zh-CN" w:bidi="ar-SA"/>
        </w:rPr>
        <w:t xml:space="preserve"> </w:t>
      </w:r>
      <w:r>
        <w:rPr>
          <w:rFonts w:hint="default" w:ascii="Times New Roman" w:hAnsi="Times New Roman" w:eastAsia="仿宋_GB2312" w:cs="Times New Roman"/>
          <w:b w:val="0"/>
          <w:bCs w:val="0"/>
          <w:color w:val="000000"/>
          <w:sz w:val="32"/>
          <w:szCs w:val="32"/>
          <w:lang w:val="en-US" w:eastAsia="zh-CN"/>
        </w:rPr>
        <w:t>监管评级</w:t>
      </w:r>
      <w:r>
        <w:rPr>
          <w:rFonts w:hint="default" w:ascii="Times New Roman" w:hAnsi="Times New Roman" w:eastAsia="仿宋_GB2312" w:cs="Times New Roman"/>
          <w:color w:val="000000"/>
          <w:sz w:val="32"/>
          <w:szCs w:val="32"/>
          <w:lang w:eastAsia="zh-CN"/>
        </w:rPr>
        <w:t>应当</w:t>
      </w:r>
      <w:r>
        <w:rPr>
          <w:rFonts w:hint="eastAsia" w:eastAsia="仿宋_GB2312" w:cs="Times New Roman"/>
          <w:color w:val="000000"/>
          <w:sz w:val="32"/>
          <w:szCs w:val="32"/>
          <w:lang w:val="en-US" w:eastAsia="zh-CN"/>
        </w:rPr>
        <w:t>依照公开公正、客观全面、激励约束相结合的原则依法依规开展。</w:t>
      </w:r>
    </w:p>
    <w:p w14:paraId="7FBAA50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76" w:firstLineChars="200"/>
        <w:textAlignment w:val="auto"/>
        <w:rPr>
          <w:rFonts w:hint="eastAsia" w:ascii="仿宋_GB2312" w:hAnsi="仿宋_GB2312" w:eastAsia="仿宋_GB2312" w:cs="仿宋_GB2312"/>
          <w:b w:val="0"/>
          <w:bCs w:val="0"/>
          <w:strike/>
          <w:color w:val="000000"/>
          <w:sz w:val="32"/>
          <w:szCs w:val="32"/>
          <w:lang w:val="en-US" w:eastAsia="zh-CN" w:bidi="ar-SA"/>
        </w:rPr>
      </w:pPr>
      <w:r>
        <w:rPr>
          <w:rFonts w:hint="eastAsia" w:ascii="黑体" w:hAnsi="黑体" w:eastAsia="黑体" w:cs="黑体"/>
          <w:b w:val="0"/>
          <w:bCs w:val="0"/>
          <w:color w:val="000000"/>
          <w:spacing w:val="9"/>
          <w:sz w:val="32"/>
          <w:szCs w:val="32"/>
          <w:lang w:val="en-US" w:eastAsia="en-US" w:bidi="ar-SA"/>
        </w:rPr>
        <w:t>第</w:t>
      </w:r>
      <w:r>
        <w:rPr>
          <w:rFonts w:hint="eastAsia" w:ascii="黑体" w:hAnsi="黑体" w:eastAsia="黑体" w:cs="黑体"/>
          <w:b w:val="0"/>
          <w:bCs w:val="0"/>
          <w:color w:val="000000"/>
          <w:spacing w:val="9"/>
          <w:sz w:val="32"/>
          <w:szCs w:val="32"/>
          <w:lang w:val="en-US" w:eastAsia="zh-CN" w:bidi="ar-SA"/>
        </w:rPr>
        <w:t>七</w:t>
      </w:r>
      <w:r>
        <w:rPr>
          <w:rFonts w:hint="eastAsia" w:ascii="黑体" w:hAnsi="黑体" w:eastAsia="黑体" w:cs="黑体"/>
          <w:b w:val="0"/>
          <w:bCs w:val="0"/>
          <w:color w:val="000000"/>
          <w:spacing w:val="9"/>
          <w:sz w:val="32"/>
          <w:szCs w:val="32"/>
          <w:lang w:val="en-US" w:eastAsia="en-US" w:bidi="ar-SA"/>
        </w:rPr>
        <w:t>条</w:t>
      </w:r>
      <w:r>
        <w:rPr>
          <w:rFonts w:hint="eastAsia" w:ascii="仿宋_GB2312" w:hAnsi="仿宋_GB2312" w:eastAsia="仿宋_GB2312" w:cs="仿宋_GB2312"/>
          <w:b w:val="0"/>
          <w:bCs w:val="0"/>
          <w:color w:val="000000"/>
          <w:spacing w:val="9"/>
          <w:sz w:val="32"/>
          <w:szCs w:val="32"/>
          <w:lang w:val="en-US" w:eastAsia="zh-CN" w:bidi="ar-SA"/>
        </w:rPr>
        <w:t xml:space="preserve"> </w:t>
      </w:r>
      <w:r>
        <w:rPr>
          <w:rFonts w:hint="eastAsia" w:cs="仿宋_GB2312"/>
          <w:b w:val="0"/>
          <w:bCs w:val="0"/>
          <w:color w:val="000000"/>
          <w:spacing w:val="9"/>
          <w:sz w:val="32"/>
          <w:szCs w:val="32"/>
          <w:lang w:val="en-US" w:eastAsia="zh-CN" w:bidi="ar-SA"/>
        </w:rPr>
        <w:t>监管评级</w:t>
      </w:r>
      <w:r>
        <w:rPr>
          <w:rFonts w:hint="eastAsia" w:ascii="仿宋_GB2312" w:hAnsi="仿宋_GB2312" w:eastAsia="仿宋_GB2312" w:cs="仿宋_GB2312"/>
          <w:b w:val="0"/>
          <w:bCs w:val="0"/>
          <w:color w:val="000000"/>
          <w:spacing w:val="8"/>
          <w:sz w:val="32"/>
          <w:szCs w:val="32"/>
          <w:lang w:val="en-US" w:eastAsia="en-US" w:bidi="ar-SA"/>
        </w:rPr>
        <w:t>由省地方金</w:t>
      </w:r>
      <w:r>
        <w:rPr>
          <w:rFonts w:hint="eastAsia" w:ascii="仿宋_GB2312" w:hAnsi="仿宋_GB2312" w:eastAsia="仿宋_GB2312" w:cs="仿宋_GB2312"/>
          <w:b w:val="0"/>
          <w:bCs w:val="0"/>
          <w:color w:val="auto"/>
          <w:spacing w:val="8"/>
          <w:sz w:val="32"/>
          <w:szCs w:val="32"/>
          <w:lang w:val="en-US" w:eastAsia="en-US" w:bidi="ar-SA"/>
        </w:rPr>
        <w:t>融</w:t>
      </w:r>
      <w:r>
        <w:rPr>
          <w:rFonts w:hint="eastAsia" w:ascii="仿宋_GB2312" w:hAnsi="仿宋_GB2312" w:eastAsia="仿宋_GB2312" w:cs="仿宋_GB2312"/>
          <w:b w:val="0"/>
          <w:bCs w:val="0"/>
          <w:color w:val="auto"/>
          <w:sz w:val="32"/>
          <w:szCs w:val="32"/>
          <w:lang w:val="en-US" w:eastAsia="en-US" w:bidi="ar-SA"/>
        </w:rPr>
        <w:t>管</w:t>
      </w:r>
      <w:r>
        <w:rPr>
          <w:rFonts w:hint="eastAsia" w:ascii="仿宋_GB2312" w:hAnsi="仿宋_GB2312" w:eastAsia="仿宋_GB2312" w:cs="仿宋_GB2312"/>
          <w:b w:val="0"/>
          <w:bCs w:val="0"/>
          <w:color w:val="auto"/>
          <w:sz w:val="32"/>
          <w:szCs w:val="32"/>
          <w:lang w:val="en-US" w:eastAsia="zh-CN" w:bidi="ar-SA"/>
        </w:rPr>
        <w:t>理</w:t>
      </w:r>
      <w:r>
        <w:rPr>
          <w:rFonts w:hint="eastAsia" w:ascii="仿宋_GB2312" w:hAnsi="仿宋_GB2312" w:eastAsia="仿宋_GB2312" w:cs="仿宋_GB2312"/>
          <w:b w:val="0"/>
          <w:bCs w:val="0"/>
          <w:color w:val="auto"/>
          <w:spacing w:val="8"/>
          <w:sz w:val="32"/>
          <w:szCs w:val="32"/>
          <w:lang w:val="en-US" w:eastAsia="en-US" w:bidi="ar-SA"/>
        </w:rPr>
        <w:t>局统</w:t>
      </w:r>
      <w:r>
        <w:rPr>
          <w:rFonts w:hint="eastAsia" w:ascii="仿宋_GB2312" w:hAnsi="仿宋_GB2312" w:eastAsia="仿宋_GB2312" w:cs="仿宋_GB2312"/>
          <w:b w:val="0"/>
          <w:bCs w:val="0"/>
          <w:color w:val="000000"/>
          <w:spacing w:val="8"/>
          <w:sz w:val="32"/>
          <w:szCs w:val="32"/>
          <w:lang w:val="en-US" w:eastAsia="en-US" w:bidi="ar-SA"/>
        </w:rPr>
        <w:t>筹各</w:t>
      </w:r>
      <w:r>
        <w:rPr>
          <w:rFonts w:hint="eastAsia" w:cs="仿宋_GB2312"/>
          <w:b w:val="0"/>
          <w:bCs w:val="0"/>
          <w:color w:val="000000"/>
          <w:spacing w:val="8"/>
          <w:sz w:val="32"/>
          <w:szCs w:val="32"/>
          <w:lang w:val="en-US" w:eastAsia="zh-CN" w:bidi="ar-SA"/>
        </w:rPr>
        <w:t>市（州）、县级地方金融管理部门实施。根据工作需要，地方金融管理部门可以聘请第三方专业机构为监管评级提供专业服务。</w:t>
      </w:r>
    </w:p>
    <w:p w14:paraId="1A85F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cs="仿宋_GB2312"/>
          <w:b w:val="0"/>
          <w:bCs w:val="0"/>
          <w:strike w:val="0"/>
          <w:color w:val="000000"/>
          <w:sz w:val="32"/>
          <w:szCs w:val="32"/>
          <w:lang w:val="en-US" w:eastAsia="zh-CN" w:bidi="ar-SA"/>
        </w:rPr>
      </w:pPr>
      <w:r>
        <w:rPr>
          <w:rFonts w:hint="eastAsia" w:cs="仿宋_GB2312"/>
          <w:b w:val="0"/>
          <w:bCs w:val="0"/>
          <w:strike w:val="0"/>
          <w:color w:val="000000"/>
          <w:sz w:val="32"/>
          <w:szCs w:val="32"/>
          <w:lang w:val="en-US" w:eastAsia="zh-CN" w:bidi="ar-SA"/>
        </w:rPr>
        <w:t>贵州省小额贷款公司协会作为省级行业自律组织应当履行自律、协调、服务职责，积极配合监管评级工作。</w:t>
      </w:r>
    </w:p>
    <w:p w14:paraId="5BAB85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cs="仿宋_GB2312"/>
          <w:b w:val="0"/>
          <w:bCs w:val="0"/>
          <w:strike w:val="0"/>
          <w:color w:val="000000"/>
          <w:sz w:val="32"/>
          <w:szCs w:val="32"/>
          <w:lang w:val="en-US" w:eastAsia="zh-CN" w:bidi="ar-SA"/>
        </w:rPr>
      </w:pPr>
      <w:r>
        <w:rPr>
          <w:rFonts w:hint="eastAsia" w:ascii="黑体" w:hAnsi="黑体" w:eastAsia="黑体" w:cs="黑体"/>
          <w:b w:val="0"/>
          <w:bCs w:val="0"/>
          <w:strike w:val="0"/>
          <w:color w:val="000000"/>
          <w:sz w:val="32"/>
          <w:szCs w:val="32"/>
          <w:lang w:val="en-US" w:eastAsia="zh-CN" w:bidi="ar-SA"/>
        </w:rPr>
        <w:t>第八条</w:t>
      </w:r>
      <w:r>
        <w:rPr>
          <w:rFonts w:hint="eastAsia" w:cs="仿宋_GB2312"/>
          <w:b w:val="0"/>
          <w:bCs w:val="0"/>
          <w:strike w:val="0"/>
          <w:color w:val="000000"/>
          <w:sz w:val="32"/>
          <w:szCs w:val="32"/>
          <w:lang w:val="en-US" w:eastAsia="zh-CN" w:bidi="ar-SA"/>
        </w:rPr>
        <w:t xml:space="preserve"> 参与小额贷款公司监管评级工作的人员应具备相应的专业素质、业务能力和监管经验，在工作中须坚持公平、公正、实事求是、廉洁奉公、勤勉尽责的原则。</w:t>
      </w:r>
    </w:p>
    <w:p w14:paraId="1DACBA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cs="仿宋_GB2312"/>
          <w:b w:val="0"/>
          <w:bCs w:val="0"/>
          <w:strike w:val="0"/>
          <w:color w:val="000000"/>
          <w:sz w:val="32"/>
          <w:szCs w:val="32"/>
          <w:lang w:val="en-US" w:eastAsia="zh-CN" w:bidi="ar-SA"/>
        </w:rPr>
      </w:pPr>
    </w:p>
    <w:p w14:paraId="44B05A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center"/>
        <w:textAlignment w:val="auto"/>
        <w:rPr>
          <w:rFonts w:hint="default" w:cs="仿宋_GB2312"/>
          <w:b w:val="0"/>
          <w:bCs w:val="0"/>
          <w:strike w:val="0"/>
          <w:color w:val="000000"/>
          <w:sz w:val="32"/>
          <w:szCs w:val="32"/>
          <w:lang w:val="en-US" w:eastAsia="zh-CN" w:bidi="ar-SA"/>
        </w:rPr>
      </w:pPr>
      <w:r>
        <w:rPr>
          <w:rFonts w:hint="eastAsia" w:ascii="黑体" w:hAnsi="黑体" w:eastAsia="黑体" w:cs="黑体"/>
          <w:b w:val="0"/>
          <w:bCs w:val="0"/>
          <w:strike w:val="0"/>
          <w:color w:val="000000"/>
          <w:sz w:val="32"/>
          <w:szCs w:val="32"/>
          <w:lang w:val="en-US" w:eastAsia="zh-CN" w:bidi="ar-SA"/>
        </w:rPr>
        <w:t>第二章  评级体系</w:t>
      </w:r>
    </w:p>
    <w:p w14:paraId="0AB1DC28">
      <w:pPr>
        <w:keepNext w:val="0"/>
        <w:keepLines w:val="0"/>
        <w:pageBreakBefore w:val="0"/>
        <w:widowControl w:val="0"/>
        <w:kinsoku/>
        <w:wordWrap/>
        <w:overflowPunct/>
        <w:topLinePunct w:val="0"/>
        <w:bidi w:val="0"/>
        <w:adjustRightInd/>
        <w:snapToGrid/>
        <w:spacing w:line="560" w:lineRule="exact"/>
        <w:ind w:firstLine="636" w:firstLineChars="200"/>
        <w:jc w:val="left"/>
        <w:textAlignment w:val="auto"/>
        <w:rPr>
          <w:rFonts w:hint="eastAsia" w:ascii="Times New Roman" w:hAnsi="Times New Roman" w:cs="Times New Roman"/>
          <w:b w:val="0"/>
          <w:bCs w:val="0"/>
          <w:color w:val="000000"/>
          <w:spacing w:val="2"/>
          <w:sz w:val="32"/>
          <w:szCs w:val="32"/>
          <w:lang w:val="en-US" w:eastAsia="zh-CN" w:bidi="ar-SA"/>
        </w:rPr>
      </w:pPr>
      <w:r>
        <w:rPr>
          <w:rFonts w:hint="eastAsia" w:ascii="黑体" w:hAnsi="黑体" w:eastAsia="黑体" w:cs="黑体"/>
          <w:b w:val="0"/>
          <w:bCs w:val="0"/>
          <w:color w:val="000000"/>
          <w:spacing w:val="-1"/>
          <w:sz w:val="32"/>
          <w:szCs w:val="32"/>
          <w:lang w:val="en-US" w:eastAsia="zh-CN" w:bidi="ar-SA"/>
        </w:rPr>
        <w:t>第九条</w:t>
      </w:r>
      <w:r>
        <w:rPr>
          <w:rFonts w:hint="eastAsia" w:cs="仿宋_GB2312"/>
          <w:b w:val="0"/>
          <w:bCs w:val="0"/>
          <w:color w:val="000000"/>
          <w:spacing w:val="-1"/>
          <w:sz w:val="32"/>
          <w:szCs w:val="32"/>
          <w:lang w:val="en-US" w:eastAsia="zh-CN" w:bidi="ar-SA"/>
        </w:rPr>
        <w:t xml:space="preserve">  监管评级分为A、B、不通过三个级别，评级要素由五个部分组成，</w:t>
      </w:r>
      <w:r>
        <w:rPr>
          <w:rFonts w:hint="eastAsia" w:ascii="仿宋_GB2312" w:hAnsi="仿宋_GB2312" w:eastAsia="仿宋_GB2312" w:cs="仿宋_GB2312"/>
          <w:b w:val="0"/>
          <w:bCs w:val="0"/>
          <w:color w:val="000000"/>
          <w:spacing w:val="5"/>
          <w:sz w:val="32"/>
          <w:szCs w:val="32"/>
          <w:lang w:val="en-US" w:eastAsia="en-US" w:bidi="ar-SA"/>
        </w:rPr>
        <w:t>满</w:t>
      </w:r>
      <w:r>
        <w:rPr>
          <w:rFonts w:hint="eastAsia" w:ascii="Times New Roman" w:hAnsi="Times New Roman" w:eastAsia="仿宋_GB2312" w:cs="Times New Roman"/>
          <w:b w:val="0"/>
          <w:bCs w:val="0"/>
          <w:color w:val="000000"/>
          <w:spacing w:val="2"/>
          <w:sz w:val="32"/>
          <w:szCs w:val="32"/>
          <w:lang w:val="en-US" w:eastAsia="en-US" w:bidi="ar-SA"/>
        </w:rPr>
        <w:t>分</w:t>
      </w:r>
      <w:r>
        <w:rPr>
          <w:rFonts w:hint="eastAsia" w:ascii="Times New Roman" w:hAnsi="Times New Roman" w:cs="Times New Roman"/>
          <w:b w:val="0"/>
          <w:bCs w:val="0"/>
          <w:color w:val="000000"/>
          <w:spacing w:val="2"/>
          <w:sz w:val="32"/>
          <w:szCs w:val="32"/>
          <w:lang w:val="en-US" w:eastAsia="zh-CN" w:bidi="ar-SA"/>
        </w:rPr>
        <w:t>100</w:t>
      </w:r>
      <w:r>
        <w:rPr>
          <w:rFonts w:hint="eastAsia" w:ascii="Times New Roman" w:hAnsi="Times New Roman" w:eastAsia="仿宋_GB2312" w:cs="Times New Roman"/>
          <w:b w:val="0"/>
          <w:bCs w:val="0"/>
          <w:color w:val="000000"/>
          <w:spacing w:val="2"/>
          <w:sz w:val="32"/>
          <w:szCs w:val="32"/>
          <w:lang w:val="en-US" w:eastAsia="en-US" w:bidi="ar-SA"/>
        </w:rPr>
        <w:t>分，</w:t>
      </w:r>
      <w:r>
        <w:rPr>
          <w:rFonts w:hint="eastAsia" w:ascii="Times New Roman" w:hAnsi="Times New Roman" w:cs="Times New Roman"/>
          <w:b w:val="0"/>
          <w:bCs w:val="0"/>
          <w:color w:val="000000"/>
          <w:spacing w:val="2"/>
          <w:sz w:val="32"/>
          <w:szCs w:val="32"/>
          <w:lang w:val="en-US" w:eastAsia="zh-CN" w:bidi="ar-SA"/>
        </w:rPr>
        <w:t>各部分权重为</w:t>
      </w:r>
      <w:r>
        <w:rPr>
          <w:rFonts w:hint="eastAsia" w:ascii="Times New Roman" w:hAnsi="Times New Roman" w:eastAsia="仿宋_GB2312" w:cs="Times New Roman"/>
          <w:b w:val="0"/>
          <w:bCs w:val="0"/>
          <w:color w:val="000000"/>
          <w:spacing w:val="2"/>
          <w:sz w:val="32"/>
          <w:szCs w:val="32"/>
          <w:lang w:val="en-US" w:eastAsia="zh-CN" w:bidi="ar-SA"/>
        </w:rPr>
        <w:t>公司治理</w:t>
      </w:r>
      <w:r>
        <w:rPr>
          <w:rFonts w:hint="eastAsia" w:ascii="Times New Roman" w:hAnsi="Times New Roman" w:cs="Times New Roman"/>
          <w:b w:val="0"/>
          <w:bCs w:val="0"/>
          <w:color w:val="000000"/>
          <w:spacing w:val="2"/>
          <w:sz w:val="32"/>
          <w:szCs w:val="32"/>
          <w:lang w:val="en-US" w:eastAsia="zh-CN" w:bidi="ar-SA"/>
        </w:rPr>
        <w:t>15%、</w:t>
      </w:r>
      <w:r>
        <w:rPr>
          <w:rFonts w:hint="eastAsia" w:ascii="Times New Roman" w:hAnsi="Times New Roman" w:cs="Times New Roman"/>
          <w:color w:val="000000"/>
          <w:spacing w:val="2"/>
        </w:rPr>
        <w:t>业务经营和风险防控</w:t>
      </w:r>
      <w:r>
        <w:rPr>
          <w:rFonts w:hint="eastAsia" w:ascii="Times New Roman" w:hAnsi="Times New Roman" w:cs="Times New Roman"/>
          <w:b w:val="0"/>
          <w:bCs w:val="0"/>
          <w:color w:val="000000"/>
          <w:spacing w:val="2"/>
          <w:sz w:val="32"/>
          <w:szCs w:val="32"/>
          <w:lang w:val="en-US" w:eastAsia="zh-CN" w:bidi="ar-SA"/>
        </w:rPr>
        <w:t>30%、财务管理30%、社会责任5%、配合监管15%、行业自律评价5%</w:t>
      </w:r>
      <w:r>
        <w:rPr>
          <w:rFonts w:hint="eastAsia" w:ascii="Times New Roman" w:hAnsi="Times New Roman" w:eastAsia="仿宋_GB2312" w:cs="Times New Roman"/>
          <w:b w:val="0"/>
          <w:bCs w:val="0"/>
          <w:color w:val="000000"/>
          <w:spacing w:val="2"/>
          <w:sz w:val="32"/>
          <w:szCs w:val="32"/>
          <w:lang w:val="en-US" w:eastAsia="zh-CN" w:bidi="ar-SA"/>
        </w:rPr>
        <w:t>；</w:t>
      </w:r>
      <w:r>
        <w:rPr>
          <w:rFonts w:hint="eastAsia" w:ascii="Times New Roman" w:hAnsi="Times New Roman" w:cs="Times New Roman"/>
          <w:b w:val="0"/>
          <w:bCs w:val="0"/>
          <w:color w:val="000000"/>
          <w:spacing w:val="2"/>
          <w:sz w:val="32"/>
          <w:szCs w:val="32"/>
          <w:lang w:val="en-US" w:eastAsia="zh-CN" w:bidi="ar-SA"/>
        </w:rPr>
        <w:t>评级要素下设评级指标，包括定性指标及定量指标两类。</w:t>
      </w:r>
    </w:p>
    <w:p w14:paraId="4C24BADE">
      <w:pPr>
        <w:keepNext w:val="0"/>
        <w:keepLines w:val="0"/>
        <w:pageBreakBefore w:val="0"/>
        <w:widowControl w:val="0"/>
        <w:kinsoku/>
        <w:wordWrap/>
        <w:overflowPunct/>
        <w:topLinePunct w:val="0"/>
        <w:bidi w:val="0"/>
        <w:adjustRightInd/>
        <w:snapToGrid/>
        <w:spacing w:line="560" w:lineRule="exact"/>
        <w:ind w:firstLine="648" w:firstLineChars="200"/>
        <w:jc w:val="left"/>
        <w:textAlignment w:val="auto"/>
        <w:rPr>
          <w:rFonts w:hint="default" w:ascii="Times New Roman" w:hAnsi="Times New Roman" w:cs="Times New Roman"/>
          <w:b w:val="0"/>
          <w:bCs w:val="0"/>
          <w:color w:val="000000"/>
          <w:spacing w:val="2"/>
          <w:sz w:val="32"/>
          <w:szCs w:val="32"/>
          <w:lang w:val="en-US" w:eastAsia="zh-CN" w:bidi="ar-SA"/>
        </w:rPr>
      </w:pPr>
      <w:r>
        <w:rPr>
          <w:rFonts w:hint="eastAsia" w:ascii="黑体" w:hAnsi="黑体" w:eastAsia="黑体" w:cs="黑体"/>
          <w:b w:val="0"/>
          <w:bCs w:val="0"/>
          <w:color w:val="000000"/>
          <w:spacing w:val="2"/>
          <w:sz w:val="32"/>
          <w:szCs w:val="32"/>
          <w:lang w:val="en-US" w:eastAsia="zh-CN" w:bidi="ar-SA"/>
        </w:rPr>
        <w:t>第十条</w:t>
      </w:r>
      <w:r>
        <w:rPr>
          <w:rFonts w:hint="eastAsia" w:ascii="Times New Roman" w:hAnsi="Times New Roman" w:cs="Times New Roman"/>
          <w:b w:val="0"/>
          <w:bCs w:val="0"/>
          <w:color w:val="000000"/>
          <w:spacing w:val="2"/>
          <w:sz w:val="32"/>
          <w:szCs w:val="32"/>
          <w:lang w:val="en-US" w:eastAsia="zh-CN" w:bidi="ar-SA"/>
        </w:rPr>
        <w:t xml:space="preserve">  监管评级在满分100分以外设置加分项，满分20分</w:t>
      </w:r>
      <w:r>
        <w:rPr>
          <w:rFonts w:hint="eastAsia" w:cs="仿宋_GB2312"/>
          <w:b w:val="0"/>
          <w:bCs w:val="0"/>
          <w:color w:val="000000"/>
          <w:spacing w:val="-4"/>
          <w:sz w:val="32"/>
          <w:szCs w:val="32"/>
          <w:lang w:val="en-US" w:eastAsia="zh-CN" w:bidi="ar-SA"/>
        </w:rPr>
        <w:t>；分为党组织建设、服务实体经济、税收贡献、信息化建设、公益事业和正面宣传五个部分。</w:t>
      </w:r>
    </w:p>
    <w:p w14:paraId="72B75050">
      <w:pPr>
        <w:keepNext w:val="0"/>
        <w:keepLines w:val="0"/>
        <w:pageBreakBefore w:val="0"/>
        <w:widowControl/>
        <w:kinsoku/>
        <w:wordWrap/>
        <w:overflowPunct/>
        <w:topLinePunct w:val="0"/>
        <w:bidi w:val="0"/>
        <w:adjustRightInd/>
        <w:snapToGrid/>
        <w:spacing w:line="240" w:lineRule="auto"/>
        <w:ind w:firstLine="648" w:firstLineChars="200"/>
        <w:jc w:val="left"/>
        <w:textAlignment w:val="auto"/>
        <w:rPr>
          <w:rFonts w:hint="default" w:cs="仿宋_GB2312"/>
          <w:b w:val="0"/>
          <w:bCs w:val="0"/>
          <w:color w:val="auto"/>
          <w:szCs w:val="32"/>
          <w:lang w:val="en-US" w:eastAsia="zh-CN" w:bidi="ar-SA"/>
        </w:rPr>
      </w:pPr>
      <w:r>
        <w:rPr>
          <w:rFonts w:hint="eastAsia" w:ascii="黑体" w:hAnsi="黑体" w:eastAsia="黑体" w:cs="黑体"/>
          <w:b w:val="0"/>
          <w:bCs w:val="0"/>
          <w:color w:val="000000"/>
          <w:spacing w:val="2"/>
          <w:szCs w:val="32"/>
          <w:lang w:val="en-US" w:eastAsia="zh-CN" w:bidi="ar-SA"/>
        </w:rPr>
        <w:t>第十一条</w:t>
      </w:r>
      <w:r>
        <w:rPr>
          <w:rFonts w:hint="default" w:cs="仿宋_GB2312"/>
          <w:b w:val="0"/>
          <w:bCs w:val="0"/>
          <w:color w:val="auto"/>
          <w:szCs w:val="32"/>
          <w:lang w:val="en-US" w:eastAsia="zh-CN" w:bidi="ar-SA"/>
        </w:rPr>
        <w:t xml:space="preserve">  监管评级原则上每2年开展一次，期间可以根据日常监管情况作动态调整。</w:t>
      </w:r>
    </w:p>
    <w:p w14:paraId="51F928D7">
      <w:pPr>
        <w:keepNext w:val="0"/>
        <w:keepLines w:val="0"/>
        <w:pageBreakBefore w:val="0"/>
        <w:widowControl/>
        <w:kinsoku/>
        <w:wordWrap/>
        <w:overflowPunct/>
        <w:topLinePunct w:val="0"/>
        <w:bidi w:val="0"/>
        <w:adjustRightInd/>
        <w:snapToGrid/>
        <w:spacing w:line="240" w:lineRule="auto"/>
        <w:ind w:firstLine="648" w:firstLineChars="200"/>
        <w:jc w:val="left"/>
        <w:textAlignment w:val="auto"/>
        <w:rPr>
          <w:rFonts w:hint="default" w:cs="仿宋_GB2312"/>
          <w:b w:val="0"/>
          <w:bCs w:val="0"/>
          <w:color w:val="auto"/>
          <w:sz w:val="32"/>
          <w:szCs w:val="32"/>
          <w:lang w:val="en-US" w:eastAsia="zh-CN" w:bidi="ar-SA"/>
        </w:rPr>
      </w:pPr>
      <w:r>
        <w:rPr>
          <w:rFonts w:hint="eastAsia" w:ascii="黑体" w:hAnsi="黑体" w:eastAsia="黑体" w:cs="黑体"/>
          <w:b w:val="0"/>
          <w:bCs w:val="0"/>
          <w:color w:val="000000"/>
          <w:spacing w:val="2"/>
          <w:sz w:val="32"/>
          <w:szCs w:val="32"/>
          <w:lang w:val="en-US" w:eastAsia="zh-CN" w:bidi="ar-SA"/>
        </w:rPr>
        <w:t>第十二条</w:t>
      </w:r>
      <w:r>
        <w:rPr>
          <w:rFonts w:hint="default" w:cs="仿宋_GB2312"/>
          <w:b w:val="0"/>
          <w:bCs w:val="0"/>
          <w:color w:val="auto"/>
          <w:sz w:val="32"/>
          <w:szCs w:val="32"/>
          <w:lang w:val="en-US" w:eastAsia="zh-CN" w:bidi="ar-SA"/>
        </w:rPr>
        <w:t xml:space="preserve">  小额贷款公司在一个评价期内存在下列情形之一的，监管评级下调一个级别：</w:t>
      </w:r>
    </w:p>
    <w:p w14:paraId="057B6A17">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（一）监管部门要求整改的问题，公司无故未按要求整改到位的；</w:t>
      </w:r>
    </w:p>
    <w:p w14:paraId="66DAB622">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（二）投诉举报事件频发，每年经核查属实的被投诉举报次数超过贷款余额业务笔数1%的；</w:t>
      </w:r>
    </w:p>
    <w:p w14:paraId="0350215E">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（三）存在账外经营行为的</w:t>
      </w:r>
      <w:r>
        <w:rPr>
          <w:rFonts w:hint="eastAsia" w:cs="仿宋_GB2312"/>
          <w:b w:val="0"/>
          <w:bCs w:val="0"/>
          <w:color w:val="auto"/>
          <w:sz w:val="32"/>
          <w:szCs w:val="32"/>
          <w:lang w:val="en-US" w:eastAsia="zh-CN" w:bidi="ar-SA"/>
        </w:rPr>
        <w:t>；</w:t>
      </w:r>
    </w:p>
    <w:p w14:paraId="0CF349CF">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（四）评价期内因</w:t>
      </w:r>
      <w:r>
        <w:rPr>
          <w:rFonts w:hint="eastAsia" w:cs="仿宋_GB2312"/>
          <w:b w:val="0"/>
          <w:bCs w:val="0"/>
          <w:color w:val="auto"/>
          <w:sz w:val="32"/>
          <w:szCs w:val="32"/>
          <w:lang w:val="en-US" w:eastAsia="zh-CN" w:bidi="ar-SA"/>
        </w:rPr>
        <w:t>违法违规</w:t>
      </w:r>
      <w:r>
        <w:rPr>
          <w:rFonts w:hint="default" w:cs="仿宋_GB2312"/>
          <w:b w:val="0"/>
          <w:bCs w:val="0"/>
          <w:color w:val="auto"/>
          <w:sz w:val="32"/>
          <w:szCs w:val="32"/>
          <w:lang w:val="en-US" w:eastAsia="zh-CN" w:bidi="ar-SA"/>
        </w:rPr>
        <w:t>经营活动受到相关行政机关行政处罚；</w:t>
      </w:r>
    </w:p>
    <w:p w14:paraId="00C78EFB">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（五）评价期内连续2次或者累计3次以上未通过监管部门指定的监管信息系统及时报送数据信息；</w:t>
      </w:r>
    </w:p>
    <w:p w14:paraId="7DD6A1FE">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w:t>
      </w:r>
      <w:r>
        <w:rPr>
          <w:rFonts w:hint="eastAsia" w:cs="仿宋_GB2312"/>
          <w:b w:val="0"/>
          <w:bCs w:val="0"/>
          <w:color w:val="auto"/>
          <w:sz w:val="32"/>
          <w:szCs w:val="32"/>
          <w:lang w:val="en-US" w:eastAsia="zh-CN" w:bidi="ar-SA"/>
        </w:rPr>
        <w:t>六</w:t>
      </w:r>
      <w:r>
        <w:rPr>
          <w:rFonts w:hint="default" w:cs="仿宋_GB2312"/>
          <w:b w:val="0"/>
          <w:bCs w:val="0"/>
          <w:color w:val="auto"/>
          <w:sz w:val="32"/>
          <w:szCs w:val="32"/>
          <w:lang w:val="en-US" w:eastAsia="zh-CN" w:bidi="ar-SA"/>
        </w:rPr>
        <w:t>）评价期内监管部门收到涉及小额贷款公司的投诉、举报，经调查属实且小额贷款公司负有责任；</w:t>
      </w:r>
    </w:p>
    <w:p w14:paraId="0DA58C77">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w:t>
      </w:r>
      <w:r>
        <w:rPr>
          <w:rFonts w:hint="eastAsia" w:cs="仿宋_GB2312"/>
          <w:b w:val="0"/>
          <w:bCs w:val="0"/>
          <w:color w:val="auto"/>
          <w:sz w:val="32"/>
          <w:szCs w:val="32"/>
          <w:lang w:val="en-US" w:eastAsia="zh-CN" w:bidi="ar-SA"/>
        </w:rPr>
        <w:t>七</w:t>
      </w:r>
      <w:r>
        <w:rPr>
          <w:rFonts w:hint="default" w:cs="仿宋_GB2312"/>
          <w:b w:val="0"/>
          <w:bCs w:val="0"/>
          <w:color w:val="auto"/>
          <w:sz w:val="32"/>
          <w:szCs w:val="32"/>
          <w:lang w:val="en-US" w:eastAsia="zh-CN" w:bidi="ar-SA"/>
        </w:rPr>
        <w:t>）截至评价期届满，小额贷款公司及其法定代表人、董事、监事、高级管理人员存在被纳入失信被执行人名单、被采取限制高消费措施、被列入经营异常名录等相关情况的；</w:t>
      </w:r>
    </w:p>
    <w:p w14:paraId="33D7DAE4">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w:t>
      </w:r>
      <w:r>
        <w:rPr>
          <w:rFonts w:hint="eastAsia" w:cs="仿宋_GB2312"/>
          <w:b w:val="0"/>
          <w:bCs w:val="0"/>
          <w:color w:val="auto"/>
          <w:sz w:val="32"/>
          <w:szCs w:val="32"/>
          <w:lang w:val="en-US" w:eastAsia="zh-CN" w:bidi="ar-SA"/>
        </w:rPr>
        <w:t>八</w:t>
      </w:r>
      <w:r>
        <w:rPr>
          <w:rFonts w:hint="default" w:cs="仿宋_GB2312"/>
          <w:b w:val="0"/>
          <w:bCs w:val="0"/>
          <w:color w:val="auto"/>
          <w:sz w:val="32"/>
          <w:szCs w:val="32"/>
          <w:lang w:val="en-US" w:eastAsia="zh-CN" w:bidi="ar-SA"/>
        </w:rPr>
        <w:t>）变更后的事项不符合小额贷款公司设立条件；</w:t>
      </w:r>
    </w:p>
    <w:p w14:paraId="0D85DF0D">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b w:val="0"/>
          <w:bCs w:val="0"/>
          <w:color w:val="auto"/>
          <w:sz w:val="32"/>
          <w:szCs w:val="32"/>
          <w:lang w:val="en-US" w:eastAsia="zh-CN" w:bidi="ar-SA"/>
        </w:rPr>
      </w:pPr>
      <w:r>
        <w:rPr>
          <w:rFonts w:hint="default" w:cs="仿宋_GB2312"/>
          <w:b w:val="0"/>
          <w:bCs w:val="0"/>
          <w:color w:val="auto"/>
          <w:sz w:val="32"/>
          <w:szCs w:val="32"/>
          <w:lang w:val="en-US" w:eastAsia="zh-CN" w:bidi="ar-SA"/>
        </w:rPr>
        <w:t>（</w:t>
      </w:r>
      <w:r>
        <w:rPr>
          <w:rFonts w:hint="eastAsia" w:cs="仿宋_GB2312"/>
          <w:b w:val="0"/>
          <w:bCs w:val="0"/>
          <w:color w:val="auto"/>
          <w:sz w:val="32"/>
          <w:szCs w:val="32"/>
          <w:lang w:val="en-US" w:eastAsia="zh-CN" w:bidi="ar-SA"/>
        </w:rPr>
        <w:t>九</w:t>
      </w:r>
      <w:r>
        <w:rPr>
          <w:rFonts w:hint="default" w:cs="仿宋_GB2312"/>
          <w:b w:val="0"/>
          <w:bCs w:val="0"/>
          <w:color w:val="auto"/>
          <w:sz w:val="32"/>
          <w:szCs w:val="32"/>
          <w:lang w:val="en-US" w:eastAsia="zh-CN" w:bidi="ar-SA"/>
        </w:rPr>
        <w:t>）变更后未按有关规定向地方金融组织管理部门申请行政许可或者报告备案；</w:t>
      </w:r>
    </w:p>
    <w:p w14:paraId="54E1D514">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sz w:val="32"/>
          <w:szCs w:val="32"/>
          <w:lang w:val="en-US" w:eastAsia="zh-CN"/>
        </w:rPr>
      </w:pPr>
      <w:r>
        <w:rPr>
          <w:rFonts w:hint="eastAsia" w:ascii="黑体" w:hAnsi="黑体" w:eastAsia="黑体" w:cs="黑体"/>
          <w:b w:val="0"/>
          <w:bCs w:val="0"/>
          <w:color w:val="auto"/>
          <w:sz w:val="32"/>
          <w:szCs w:val="32"/>
          <w:lang w:val="en-US" w:eastAsia="zh-CN" w:bidi="ar-SA"/>
        </w:rPr>
        <w:t>第十三条</w:t>
      </w:r>
      <w:r>
        <w:rPr>
          <w:rFonts w:hint="default" w:cs="仿宋_GB2312"/>
          <w:b w:val="0"/>
          <w:bCs w:val="0"/>
          <w:color w:val="auto"/>
          <w:sz w:val="32"/>
          <w:szCs w:val="32"/>
          <w:lang w:val="en-US" w:eastAsia="zh-CN" w:bidi="ar-SA"/>
        </w:rPr>
        <w:t xml:space="preserve">  </w:t>
      </w:r>
      <w:r>
        <w:rPr>
          <w:rFonts w:hint="default" w:cs="仿宋_GB2312"/>
          <w:sz w:val="32"/>
          <w:szCs w:val="32"/>
          <w:lang w:val="en-US" w:eastAsia="zh-CN"/>
        </w:rPr>
        <w:t>小额贷款公司在一个评价期内</w:t>
      </w:r>
      <w:r>
        <w:rPr>
          <w:rFonts w:hint="default" w:ascii="仿宋_GB2312" w:hAnsi="仿宋_GB2312" w:eastAsia="仿宋_GB2312" w:cs="仿宋_GB2312"/>
          <w:sz w:val="32"/>
          <w:szCs w:val="32"/>
          <w:lang w:val="en-US" w:eastAsia="zh-CN"/>
        </w:rPr>
        <w:t>存在以下情形之一的，实行“一票否决”，评级结果为不通过</w:t>
      </w:r>
      <w:r>
        <w:rPr>
          <w:rFonts w:hint="default" w:cs="仿宋_GB2312"/>
          <w:sz w:val="32"/>
          <w:szCs w:val="32"/>
          <w:lang w:val="en-US" w:eastAsia="zh-CN"/>
        </w:rPr>
        <w:t>：</w:t>
      </w:r>
    </w:p>
    <w:p w14:paraId="00BE8154">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sz w:val="32"/>
          <w:szCs w:val="32"/>
          <w:lang w:val="en-US" w:eastAsia="zh-CN"/>
        </w:rPr>
      </w:pPr>
      <w:r>
        <w:rPr>
          <w:rFonts w:hint="default" w:cs="仿宋_GB2312"/>
          <w:sz w:val="32"/>
          <w:szCs w:val="32"/>
          <w:lang w:val="en-US" w:eastAsia="zh-CN"/>
        </w:rPr>
        <w:t>（一）出售、出借、出租业务经营许可证；</w:t>
      </w:r>
    </w:p>
    <w:p w14:paraId="013B6938">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hint="default" w:cs="仿宋_GB2312"/>
          <w:sz w:val="32"/>
          <w:szCs w:val="32"/>
          <w:lang w:val="en-US" w:eastAsia="zh-CN"/>
        </w:rPr>
      </w:pPr>
      <w:r>
        <w:rPr>
          <w:rFonts w:hint="default" w:cs="仿宋_GB2312"/>
          <w:sz w:val="32"/>
          <w:szCs w:val="32"/>
          <w:lang w:val="en-US" w:eastAsia="zh-CN"/>
        </w:rPr>
        <w:t>（二）经司法机关查证属实，有下列情形之一的：</w:t>
      </w:r>
    </w:p>
    <w:p w14:paraId="7A3ED212">
      <w:pPr>
        <w:keepNext w:val="0"/>
        <w:keepLines w:val="0"/>
        <w:pageBreakBefore w:val="0"/>
        <w:widowControl/>
        <w:kinsoku/>
        <w:wordWrap/>
        <w:overflowPunct/>
        <w:topLinePunct w:val="0"/>
        <w:bidi w:val="0"/>
        <w:adjustRightInd/>
        <w:snapToGrid/>
        <w:spacing w:line="240" w:lineRule="auto"/>
        <w:ind w:firstLine="960" w:firstLineChars="300"/>
        <w:jc w:val="left"/>
        <w:textAlignment w:val="auto"/>
        <w:rPr>
          <w:rFonts w:hint="default" w:cs="仿宋_GB2312"/>
          <w:sz w:val="32"/>
          <w:szCs w:val="32"/>
          <w:lang w:val="en-US" w:eastAsia="zh-CN"/>
        </w:rPr>
      </w:pPr>
      <w:r>
        <w:rPr>
          <w:rFonts w:hint="default" w:cs="仿宋_GB2312"/>
          <w:sz w:val="32"/>
          <w:szCs w:val="32"/>
          <w:lang w:val="en-US" w:eastAsia="zh-CN"/>
        </w:rPr>
        <w:t>1.吸收或者变相吸收公众存款；</w:t>
      </w:r>
    </w:p>
    <w:p w14:paraId="7EAA5B78">
      <w:pPr>
        <w:keepNext w:val="0"/>
        <w:keepLines w:val="0"/>
        <w:pageBreakBefore w:val="0"/>
        <w:widowControl/>
        <w:kinsoku/>
        <w:wordWrap/>
        <w:overflowPunct/>
        <w:topLinePunct w:val="0"/>
        <w:bidi w:val="0"/>
        <w:adjustRightInd/>
        <w:snapToGrid/>
        <w:spacing w:line="240" w:lineRule="auto"/>
        <w:ind w:firstLine="960" w:firstLineChars="300"/>
        <w:jc w:val="left"/>
        <w:textAlignment w:val="auto"/>
        <w:rPr>
          <w:rFonts w:hint="default" w:cs="仿宋_GB2312"/>
          <w:sz w:val="32"/>
          <w:szCs w:val="32"/>
          <w:lang w:val="en-US" w:eastAsia="zh-CN"/>
        </w:rPr>
      </w:pPr>
      <w:r>
        <w:rPr>
          <w:rFonts w:hint="default" w:cs="仿宋_GB2312"/>
          <w:sz w:val="32"/>
          <w:szCs w:val="32"/>
          <w:lang w:val="en-US" w:eastAsia="zh-CN"/>
        </w:rPr>
        <w:t>2.集资诈骗；</w:t>
      </w:r>
    </w:p>
    <w:p w14:paraId="64DEDC0D">
      <w:pPr>
        <w:keepNext w:val="0"/>
        <w:keepLines w:val="0"/>
        <w:pageBreakBefore w:val="0"/>
        <w:widowControl/>
        <w:kinsoku/>
        <w:wordWrap/>
        <w:overflowPunct/>
        <w:topLinePunct w:val="0"/>
        <w:bidi w:val="0"/>
        <w:adjustRightInd/>
        <w:snapToGrid/>
        <w:spacing w:line="240" w:lineRule="auto"/>
        <w:ind w:firstLine="960" w:firstLineChars="300"/>
        <w:jc w:val="left"/>
        <w:textAlignment w:val="auto"/>
        <w:rPr>
          <w:rFonts w:hint="default" w:cs="仿宋_GB2312"/>
          <w:sz w:val="32"/>
          <w:szCs w:val="32"/>
          <w:lang w:val="en-US" w:eastAsia="zh-CN"/>
        </w:rPr>
      </w:pPr>
      <w:r>
        <w:rPr>
          <w:rFonts w:hint="default" w:cs="仿宋_GB2312"/>
          <w:sz w:val="32"/>
          <w:szCs w:val="32"/>
          <w:lang w:val="en-US" w:eastAsia="zh-CN"/>
        </w:rPr>
        <w:t>3.自身或者合作第三方存在非法催收、暴力催收或者涉黑涉恶等严重违法行为；</w:t>
      </w:r>
    </w:p>
    <w:p w14:paraId="00B06F50">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cs="仿宋_GB2312"/>
          <w:sz w:val="32"/>
          <w:szCs w:val="32"/>
          <w:lang w:val="en-US" w:eastAsia="zh-CN"/>
        </w:rPr>
      </w:pPr>
      <w:r>
        <w:rPr>
          <w:rFonts w:hint="eastAsia" w:cs="仿宋_GB2312"/>
          <w:sz w:val="32"/>
          <w:szCs w:val="32"/>
          <w:lang w:val="en-US" w:eastAsia="zh-CN"/>
        </w:rPr>
        <w:t>（三）自核发相关金融业务批复（或许可证）之日起无正当理由超过6个月未营业，或者营业后自行停业连续达6个月以上；</w:t>
      </w:r>
    </w:p>
    <w:p w14:paraId="1047EBC8">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cs="仿宋_GB2312"/>
          <w:sz w:val="32"/>
          <w:szCs w:val="32"/>
          <w:lang w:val="en-US" w:eastAsia="zh-CN"/>
        </w:rPr>
      </w:pPr>
      <w:r>
        <w:rPr>
          <w:rFonts w:hint="eastAsia" w:cs="仿宋_GB2312"/>
          <w:sz w:val="32"/>
          <w:szCs w:val="32"/>
          <w:lang w:val="en-US" w:eastAsia="zh-CN"/>
        </w:rPr>
        <w:t>（四）满足《小额贷款公司监督管理暂行办法》（金规〔2024〕26号）第四十三条规定的有关条件，经有权机关认定为“失联”或者“空壳”。</w:t>
      </w:r>
    </w:p>
    <w:p w14:paraId="23CF569E">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cs="仿宋_GB2312"/>
          <w:sz w:val="32"/>
          <w:szCs w:val="32"/>
          <w:lang w:val="en-US" w:eastAsia="zh-CN"/>
        </w:rPr>
      </w:pPr>
      <w:r>
        <w:rPr>
          <w:rFonts w:hint="eastAsia" w:cs="仿宋_GB2312"/>
          <w:sz w:val="32"/>
          <w:szCs w:val="32"/>
          <w:lang w:val="en-US" w:eastAsia="zh-CN"/>
        </w:rPr>
        <w:t>（五）无故逾期未提交年审资料的。</w:t>
      </w:r>
    </w:p>
    <w:p w14:paraId="5242E8E3">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eastAsia="zh-CN" w:bidi="ar-SA"/>
        </w:rPr>
      </w:pPr>
      <w:r>
        <w:rPr>
          <w:rFonts w:hint="eastAsia" w:ascii="仿宋_GB2312" w:hAnsi="仿宋_GB2312" w:eastAsia="仿宋_GB2312" w:cs="仿宋_GB2312"/>
          <w:b w:val="0"/>
          <w:bCs w:val="0"/>
          <w:color w:val="auto"/>
          <w:spacing w:val="0"/>
          <w:sz w:val="32"/>
          <w:szCs w:val="32"/>
          <w:lang w:val="en-US" w:eastAsia="zh-CN" w:bidi="ar-SA"/>
        </w:rPr>
        <w:t>（六）自愿放弃</w:t>
      </w:r>
      <w:r>
        <w:rPr>
          <w:rFonts w:hint="eastAsia" w:cs="仿宋_GB2312"/>
          <w:b w:val="0"/>
          <w:bCs w:val="0"/>
          <w:color w:val="auto"/>
          <w:spacing w:val="0"/>
          <w:sz w:val="32"/>
          <w:szCs w:val="32"/>
          <w:lang w:val="en-US" w:eastAsia="zh-CN" w:bidi="ar-SA"/>
        </w:rPr>
        <w:t>参加监管评级</w:t>
      </w:r>
      <w:r>
        <w:rPr>
          <w:rFonts w:hint="eastAsia" w:ascii="仿宋_GB2312" w:hAnsi="仿宋_GB2312" w:eastAsia="仿宋_GB2312" w:cs="仿宋_GB2312"/>
          <w:b w:val="0"/>
          <w:bCs w:val="0"/>
          <w:color w:val="auto"/>
          <w:spacing w:val="0"/>
          <w:sz w:val="32"/>
          <w:szCs w:val="32"/>
          <w:lang w:val="en-US" w:eastAsia="zh-CN" w:bidi="ar-SA"/>
        </w:rPr>
        <w:t>的</w:t>
      </w:r>
      <w:r>
        <w:rPr>
          <w:rFonts w:hint="eastAsia" w:cs="仿宋_GB2312"/>
          <w:b w:val="0"/>
          <w:bCs w:val="0"/>
          <w:color w:val="auto"/>
          <w:spacing w:val="0"/>
          <w:sz w:val="32"/>
          <w:szCs w:val="32"/>
          <w:lang w:val="en-US" w:eastAsia="zh-CN" w:bidi="ar-SA"/>
        </w:rPr>
        <w:t>。</w:t>
      </w:r>
    </w:p>
    <w:p w14:paraId="355D442C">
      <w:pPr>
        <w:keepNext w:val="0"/>
        <w:keepLines w:val="0"/>
        <w:pageBreakBefore w:val="0"/>
        <w:widowControl w:val="0"/>
        <w:kinsoku/>
        <w:wordWrap/>
        <w:overflowPunct/>
        <w:topLinePunct w:val="0"/>
        <w:bidi w:val="0"/>
        <w:adjustRightInd/>
        <w:snapToGrid/>
        <w:spacing w:line="560" w:lineRule="exact"/>
        <w:jc w:val="center"/>
        <w:textAlignment w:val="auto"/>
        <w:rPr>
          <w:rFonts w:hint="default" w:eastAsia="仿宋_GB2312"/>
          <w:b w:val="0"/>
          <w:bCs w:val="0"/>
          <w:lang w:val="en-US" w:eastAsia="zh-CN"/>
        </w:rPr>
      </w:pPr>
      <w:r>
        <w:rPr>
          <w:rFonts w:hint="eastAsia" w:ascii="黑体" w:hAnsi="黑体" w:eastAsia="黑体" w:cs="黑体"/>
          <w:b w:val="0"/>
          <w:bCs w:val="0"/>
          <w:color w:val="000000"/>
          <w:spacing w:val="5"/>
          <w:sz w:val="32"/>
          <w:szCs w:val="32"/>
          <w:lang w:val="en-US" w:eastAsia="zh-CN" w:bidi="ar-SA"/>
        </w:rPr>
        <w:t>第三章 组织实施</w:t>
      </w:r>
    </w:p>
    <w:p w14:paraId="650D4F62">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ascii="黑体" w:hAnsi="黑体" w:eastAsia="黑体" w:cs="黑体"/>
          <w:b w:val="0"/>
          <w:bCs w:val="0"/>
          <w:lang w:val="en-US" w:eastAsia="zh-CN"/>
        </w:rPr>
        <w:t>第十四条</w:t>
      </w:r>
      <w:r>
        <w:rPr>
          <w:rFonts w:hint="eastAsia"/>
          <w:b w:val="0"/>
          <w:bCs w:val="0"/>
          <w:lang w:val="en-US" w:eastAsia="zh-CN"/>
        </w:rPr>
        <w:t xml:space="preserve">  监管评级分为公司自评、县级初评、市级复评三个环节。</w:t>
      </w:r>
    </w:p>
    <w:p w14:paraId="737B67D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ascii="黑体" w:hAnsi="黑体" w:eastAsia="黑体" w:cs="黑体"/>
          <w:b w:val="0"/>
          <w:bCs w:val="0"/>
          <w:lang w:val="en-US" w:eastAsia="zh-CN"/>
        </w:rPr>
        <w:t>第十五条</w:t>
      </w:r>
      <w:r>
        <w:rPr>
          <w:rFonts w:hint="eastAsia"/>
          <w:b w:val="0"/>
          <w:bCs w:val="0"/>
          <w:lang w:val="en-US" w:eastAsia="zh-CN"/>
        </w:rPr>
        <w:t xml:space="preserve">  参评小额贷款公司对照监管评级指标进行自我评价（附件），并向注册地所在县级地方金融管理部门提交以下监管评级资料：</w:t>
      </w:r>
    </w:p>
    <w:p w14:paraId="2FE472D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（一）小额贷款公司年度经营情况报告书。</w:t>
      </w:r>
    </w:p>
    <w:p w14:paraId="233304B8">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（二）小额贷款公司监管分类评级评分表。</w:t>
      </w:r>
    </w:p>
    <w:p w14:paraId="0045287A">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（三）小额贷款公司营业执照（正副本）复印件。</w:t>
      </w:r>
    </w:p>
    <w:p w14:paraId="7E93DFE6">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四）公司章程、经股东会（股东）审议通过的董事会（执行董事）、监事会（监事、审计委员会、审计岗）履职报告，经董事会（执行董事）和监事会（监事、审计委员会、审计岗）审议通过的年度经营计划、财务预决算、绩效考核办法等事关公司运营发展的重大事项材料，各项管理制度及执行情况报告。</w:t>
      </w:r>
    </w:p>
    <w:p w14:paraId="716D1EF1">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（五）年度绩效考核指标文件以及执行的年终考核结果文件或会议记录。</w:t>
      </w:r>
    </w:p>
    <w:p w14:paraId="242E55B8">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（六）具备资质要求的中介机构出具的评价期内年度财务审计报告原件，财务审计报告按照相关规定赋码。</w:t>
      </w:r>
    </w:p>
    <w:p w14:paraId="1B0179CF">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（七）员工劳动合同（复印件）及缴纳“五险一金”印证资料。</w:t>
      </w:r>
    </w:p>
    <w:p w14:paraId="2435B34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b w:val="0"/>
          <w:bCs w:val="0"/>
          <w:lang w:val="en-US" w:eastAsia="zh-CN"/>
        </w:rPr>
      </w:pPr>
      <w:r>
        <w:rPr>
          <w:rFonts w:hint="eastAsia"/>
          <w:b w:val="0"/>
          <w:bCs w:val="0"/>
          <w:lang w:val="en-US" w:eastAsia="zh-CN"/>
        </w:rPr>
        <w:t>（八）评价期内贷款明细台账（包括但不限于：客户名称、贷款起止时间、贷款期限、贷款利率、贷款余额、抵质押物情况、贷款投向的客户群体）</w:t>
      </w:r>
    </w:p>
    <w:p w14:paraId="4E382456">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（九）参与有关公益事业或正面宣传的印证资料。</w:t>
      </w:r>
    </w:p>
    <w:p w14:paraId="2AD90B08">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（十）监管部门要求提交的其他资料和数据。</w:t>
      </w:r>
    </w:p>
    <w:p w14:paraId="32265DF7">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eastAsia="仿宋_GB2312"/>
          <w:b w:val="0"/>
          <w:bCs w:val="0"/>
          <w:lang w:val="en-US" w:eastAsia="zh-CN"/>
        </w:rPr>
      </w:pPr>
      <w:r>
        <w:rPr>
          <w:rFonts w:hint="eastAsia"/>
          <w:b w:val="0"/>
          <w:bCs w:val="0"/>
          <w:lang w:val="en-US" w:eastAsia="zh-CN"/>
        </w:rPr>
        <w:t>小额贷款公司的分类评级材料需准备一套纸质版材料和一套电子扫描版材料。</w:t>
      </w:r>
    </w:p>
    <w:p w14:paraId="491A5E58">
      <w:pPr>
        <w:keepNext w:val="0"/>
        <w:keepLines w:val="0"/>
        <w:pageBreakBefore w:val="0"/>
        <w:widowControl w:val="0"/>
        <w:kinsoku/>
        <w:wordWrap/>
        <w:overflowPunct/>
        <w:topLinePunct w:val="0"/>
        <w:bidi w:val="0"/>
        <w:adjustRightInd/>
        <w:snapToGrid/>
        <w:spacing w:line="560" w:lineRule="exact"/>
        <w:textAlignment w:val="auto"/>
        <w:rPr>
          <w:rFonts w:hint="eastAsia"/>
          <w:b w:val="0"/>
          <w:bCs w:val="0"/>
          <w:lang w:val="en-US" w:eastAsia="zh-CN"/>
        </w:rPr>
      </w:pPr>
      <w:r>
        <w:rPr>
          <w:rFonts w:hint="eastAsia"/>
          <w:b w:val="0"/>
          <w:bCs w:val="0"/>
          <w:lang w:val="en-US" w:eastAsia="zh-CN"/>
        </w:rPr>
        <w:t xml:space="preserve">    </w:t>
      </w:r>
      <w:r>
        <w:rPr>
          <w:rFonts w:hint="eastAsia" w:ascii="黑体" w:hAnsi="黑体" w:eastAsia="黑体" w:cs="黑体"/>
          <w:b w:val="0"/>
          <w:bCs w:val="0"/>
          <w:lang w:val="en-US" w:eastAsia="zh-CN"/>
        </w:rPr>
        <w:t>第十六条</w:t>
      </w:r>
      <w:r>
        <w:rPr>
          <w:rFonts w:hint="eastAsia"/>
          <w:b w:val="0"/>
          <w:bCs w:val="0"/>
          <w:lang w:val="en-US" w:eastAsia="zh-CN"/>
        </w:rPr>
        <w:t xml:space="preserve"> 小额贷款公司提供的年度经营情况报告主要包括以下内容：</w:t>
      </w:r>
    </w:p>
    <w:p w14:paraId="17867B9D">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（一）公司年度经营管理情况总结。内容包括但不限于：公司治理及成效、年初计划完成情况、各项制度建立完善及执行情况、绩效目标考核落实情况、财务指标情况、履行社会责任情况和行业自律情况等。</w:t>
      </w:r>
    </w:p>
    <w:p w14:paraId="474DE999">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（二）信息披露。包括小额贷款公司监管信息系统数据报送及监管部门要求的其他数据报送情况。</w:t>
      </w:r>
    </w:p>
    <w:p w14:paraId="6F176738">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三）经营管理情况。包括年末贷款余额情况，本年累计投放贷款情况，新增投放贷款情况，对外融入资金情况，贷款集中度情况，不良贷款及不良贷款率情况，年化加权平均利率等情况，支持小微企业、个体工商户、农户、个人消费者等实体经济情况，创新信贷模式和风控模式情况，受到奖励或处罚情况等。</w:t>
      </w:r>
    </w:p>
    <w:p w14:paraId="3867BC59">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b w:val="0"/>
          <w:bCs w:val="0"/>
          <w:lang w:val="en-US" w:eastAsia="zh-CN"/>
        </w:rPr>
      </w:pPr>
      <w:r>
        <w:rPr>
          <w:rFonts w:hint="eastAsia"/>
          <w:b w:val="0"/>
          <w:bCs w:val="0"/>
          <w:lang w:val="en-US" w:eastAsia="zh-CN"/>
        </w:rPr>
        <w:t>（四）根据公司年度经营管理情况进行分析，剖析存在问题，提出可操作性的解决措施。</w:t>
      </w:r>
    </w:p>
    <w:p w14:paraId="4D548E12">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b w:val="0"/>
          <w:bCs w:val="0"/>
          <w:lang w:val="en-US" w:eastAsia="zh-CN"/>
        </w:rPr>
      </w:pPr>
      <w:r>
        <w:rPr>
          <w:rFonts w:hint="eastAsia" w:ascii="黑体" w:hAnsi="黑体" w:eastAsia="黑体" w:cs="黑体"/>
          <w:b w:val="0"/>
          <w:bCs w:val="0"/>
          <w:lang w:val="en-US" w:eastAsia="zh-CN"/>
        </w:rPr>
        <w:t>第十七条</w:t>
      </w:r>
      <w:r>
        <w:rPr>
          <w:rFonts w:hint="eastAsia"/>
          <w:b w:val="0"/>
          <w:bCs w:val="0"/>
          <w:lang w:val="en-US" w:eastAsia="zh-CN"/>
        </w:rPr>
        <w:t xml:space="preserve">  地方金融管理部门结合小额贷款公司提交的监管评级材料以及日常监管情况客观、合理、全面地对小额贷款公司作出监管评价。</w:t>
      </w:r>
    </w:p>
    <w:p w14:paraId="633F6B74">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b w:val="0"/>
          <w:bCs w:val="0"/>
          <w:lang w:val="en-US" w:eastAsia="zh-CN"/>
        </w:rPr>
      </w:pPr>
      <w:r>
        <w:rPr>
          <w:rFonts w:hint="eastAsia" w:ascii="黑体" w:hAnsi="黑体" w:eastAsia="黑体" w:cs="黑体"/>
          <w:b w:val="0"/>
          <w:bCs w:val="0"/>
          <w:lang w:val="en-US" w:eastAsia="zh-CN"/>
        </w:rPr>
        <w:t>第十八条</w:t>
      </w:r>
      <w:r>
        <w:rPr>
          <w:rFonts w:hint="eastAsia"/>
          <w:b w:val="0"/>
          <w:bCs w:val="0"/>
          <w:lang w:val="en-US" w:eastAsia="zh-CN"/>
        </w:rPr>
        <w:t xml:space="preserve">  市级地方金融管理部门对县级地方金融管理部门提出的初评结果意见进行复审，综合评定小额贷款公司最终得分，并依据指标体系确定监管评级。市（州）地方金融管理部门可视情况要求小额贷款公司补充提交证明材料，或请初评单位对打分情况进行补充说明，也可对初评等级进行调整。</w:t>
      </w:r>
    </w:p>
    <w:p w14:paraId="1C547A6E">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b w:val="0"/>
          <w:bCs w:val="0"/>
          <w:lang w:val="en-US" w:eastAsia="zh-CN"/>
        </w:rPr>
      </w:pPr>
      <w:r>
        <w:rPr>
          <w:rFonts w:hint="eastAsia" w:ascii="黑体" w:hAnsi="黑体" w:eastAsia="黑体" w:cs="黑体"/>
          <w:b w:val="0"/>
          <w:bCs w:val="0"/>
          <w:lang w:val="en-US" w:eastAsia="zh-CN"/>
        </w:rPr>
        <w:t>第十九条</w:t>
      </w:r>
      <w:r>
        <w:rPr>
          <w:rFonts w:hint="eastAsia"/>
          <w:b w:val="0"/>
          <w:bCs w:val="0"/>
          <w:lang w:val="en-US" w:eastAsia="zh-CN"/>
        </w:rPr>
        <w:t xml:space="preserve">  市级地方金融管理部门要建立监管评级通报和共享机制，向省地方金融管理部门及县级地方金融管理部门及时反馈监管评级结果，并以适当的方式和渠道向社会公布有关监管评级结果。</w:t>
      </w:r>
    </w:p>
    <w:p w14:paraId="0024976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b w:val="0"/>
          <w:bCs w:val="0"/>
          <w:lang w:val="en-US" w:eastAsia="zh-CN"/>
        </w:rPr>
      </w:pPr>
      <w:r>
        <w:rPr>
          <w:rFonts w:hint="eastAsia" w:ascii="黑体" w:hAnsi="黑体" w:eastAsia="黑体" w:cs="黑体"/>
          <w:b w:val="0"/>
          <w:bCs w:val="0"/>
          <w:lang w:val="en-US" w:eastAsia="zh-CN"/>
        </w:rPr>
        <w:t>第二十条</w:t>
      </w:r>
      <w:r>
        <w:rPr>
          <w:rFonts w:hint="eastAsia"/>
          <w:b w:val="0"/>
          <w:bCs w:val="0"/>
          <w:lang w:val="en-US" w:eastAsia="zh-CN"/>
        </w:rPr>
        <w:t xml:space="preserve">  对评级“不通过”的小额贷款公司，存在下列情形之一的，市（州）地方金融管理部门按程序报省地方金融管理部门：</w:t>
      </w:r>
    </w:p>
    <w:p w14:paraId="51CCD76B">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b w:val="0"/>
          <w:bCs w:val="0"/>
          <w:lang w:val="en-US" w:eastAsia="zh-CN"/>
        </w:rPr>
      </w:pPr>
      <w:r>
        <w:rPr>
          <w:rFonts w:hint="eastAsia"/>
          <w:b w:val="0"/>
          <w:bCs w:val="0"/>
          <w:lang w:val="en-US" w:eastAsia="zh-CN"/>
        </w:rPr>
        <w:t>（一）按照《贵州省地方金融监督管理条例》第三十六条规定，需要采取相关措施的；</w:t>
      </w:r>
    </w:p>
    <w:p w14:paraId="0F2EC05E">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b w:val="0"/>
          <w:bCs w:val="0"/>
          <w:lang w:val="en-US" w:eastAsia="zh-CN"/>
        </w:rPr>
      </w:pPr>
      <w:r>
        <w:rPr>
          <w:rFonts w:hint="eastAsia"/>
          <w:b w:val="0"/>
          <w:bCs w:val="0"/>
          <w:lang w:val="en-US" w:eastAsia="zh-CN"/>
        </w:rPr>
        <w:t>（二）需要推动退出市场的；</w:t>
      </w:r>
    </w:p>
    <w:p w14:paraId="2C3CA8AC">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eastAsia="仿宋_GB2312"/>
          <w:b w:val="0"/>
          <w:bCs w:val="0"/>
          <w:lang w:val="en-US" w:eastAsia="zh-CN"/>
        </w:rPr>
      </w:pPr>
      <w:r>
        <w:rPr>
          <w:rFonts w:hint="eastAsia" w:ascii="黑体" w:hAnsi="黑体" w:eastAsia="黑体" w:cs="黑体"/>
          <w:b w:val="0"/>
          <w:bCs w:val="0"/>
          <w:lang w:val="en-US" w:eastAsia="zh-CN"/>
        </w:rPr>
        <w:t>第二十一条</w:t>
      </w:r>
      <w:r>
        <w:rPr>
          <w:rFonts w:hint="eastAsia"/>
          <w:b w:val="0"/>
          <w:bCs w:val="0"/>
          <w:lang w:val="en-US" w:eastAsia="zh-CN"/>
        </w:rPr>
        <w:t xml:space="preserve">  监管评级工作结束后，由各市（州）地方金融管理部门做好评级工作底稿、评级结果等有关文件和资料的存档工作。</w:t>
      </w:r>
    </w:p>
    <w:p w14:paraId="778CE78A">
      <w:pPr>
        <w:keepNext w:val="0"/>
        <w:keepLines w:val="0"/>
        <w:pageBreakBefore w:val="0"/>
        <w:widowControl w:val="0"/>
        <w:kinsoku/>
        <w:wordWrap/>
        <w:overflowPunct/>
        <w:topLinePunct w:val="0"/>
        <w:bidi w:val="0"/>
        <w:adjustRightInd/>
        <w:snapToGrid/>
        <w:spacing w:line="560" w:lineRule="exact"/>
        <w:textAlignment w:val="auto"/>
        <w:rPr>
          <w:b w:val="0"/>
          <w:bCs w:val="0"/>
        </w:rPr>
      </w:pPr>
      <w:r>
        <w:rPr>
          <w:rFonts w:hint="eastAsia"/>
          <w:b w:val="0"/>
          <w:bCs w:val="0"/>
          <w:lang w:val="en-US" w:eastAsia="zh-CN"/>
        </w:rPr>
        <w:t xml:space="preserve">    </w:t>
      </w:r>
      <w:r>
        <w:rPr>
          <w:rFonts w:hint="eastAsia" w:ascii="黑体" w:hAnsi="黑体" w:eastAsia="黑体" w:cs="黑体"/>
          <w:b w:val="0"/>
          <w:bCs w:val="0"/>
          <w:lang w:val="en-US" w:eastAsia="zh-CN"/>
        </w:rPr>
        <w:t>第二十二条</w:t>
      </w:r>
      <w:r>
        <w:rPr>
          <w:rFonts w:hint="eastAsia"/>
          <w:b w:val="0"/>
          <w:bCs w:val="0"/>
          <w:lang w:val="en-US" w:eastAsia="zh-CN"/>
        </w:rPr>
        <w:t xml:space="preserve"> 地方金融管理部门应当完善小额贷款公司监管台账，完整记录评价期内小额贷款公司在现场检查、非现场监管等日常监管中发现的问题，以此作为对小额贷款公司监管评级的重要依据。</w:t>
      </w:r>
    </w:p>
    <w:p w14:paraId="1B075000">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黑体" w:hAnsi="黑体" w:eastAsia="黑体" w:cs="黑体"/>
          <w:b w:val="0"/>
          <w:bCs w:val="0"/>
          <w:lang w:val="en-US" w:eastAsia="zh-CN"/>
        </w:rPr>
      </w:pPr>
    </w:p>
    <w:p w14:paraId="4B5B9756">
      <w:pPr>
        <w:keepNext w:val="0"/>
        <w:keepLines w:val="0"/>
        <w:pageBreakBefore w:val="0"/>
        <w:widowControl w:val="0"/>
        <w:kinsoku/>
        <w:wordWrap/>
        <w:overflowPunct/>
        <w:topLinePunct w:val="0"/>
        <w:bidi w:val="0"/>
        <w:adjustRightInd/>
        <w:snapToGrid/>
        <w:spacing w:line="560" w:lineRule="exact"/>
        <w:jc w:val="center"/>
        <w:textAlignment w:val="auto"/>
        <w:rPr>
          <w:rFonts w:hint="default" w:eastAsia="仿宋_GB2312"/>
          <w:b w:val="0"/>
          <w:bCs w:val="0"/>
          <w:lang w:val="en-US" w:eastAsia="zh-CN"/>
        </w:rPr>
      </w:pPr>
      <w:r>
        <w:rPr>
          <w:rFonts w:hint="eastAsia" w:ascii="黑体" w:hAnsi="黑体" w:eastAsia="黑体" w:cs="黑体"/>
          <w:b w:val="0"/>
          <w:bCs w:val="0"/>
          <w:lang w:val="en-US" w:eastAsia="zh-CN"/>
        </w:rPr>
        <w:t>第四章 评级结果及运用</w:t>
      </w:r>
    </w:p>
    <w:p w14:paraId="659F1113">
      <w:pPr>
        <w:keepNext w:val="0"/>
        <w:keepLines w:val="0"/>
        <w:pageBreakBefore w:val="0"/>
        <w:widowControl w:val="0"/>
        <w:kinsoku/>
        <w:wordWrap/>
        <w:overflowPunct/>
        <w:topLinePunct w:val="0"/>
        <w:bidi w:val="0"/>
        <w:adjustRightInd/>
        <w:snapToGrid/>
        <w:spacing w:line="560" w:lineRule="exact"/>
        <w:textAlignment w:val="auto"/>
        <w:rPr>
          <w:rFonts w:hint="eastAsia"/>
          <w:b w:val="0"/>
          <w:bCs w:val="0"/>
          <w:lang w:val="en-US" w:eastAsia="zh-CN"/>
        </w:rPr>
      </w:pPr>
      <w:r>
        <w:rPr>
          <w:rFonts w:hint="eastAsia"/>
          <w:b w:val="0"/>
          <w:bCs w:val="0"/>
          <w:lang w:val="en-US" w:eastAsia="zh-CN"/>
        </w:rPr>
        <w:t xml:space="preserve">    </w:t>
      </w:r>
      <w:r>
        <w:rPr>
          <w:rFonts w:hint="eastAsia" w:ascii="黑体" w:hAnsi="黑体" w:eastAsia="黑体" w:cs="黑体"/>
          <w:b w:val="0"/>
          <w:bCs w:val="0"/>
          <w:lang w:val="en-US" w:eastAsia="zh-CN"/>
        </w:rPr>
        <w:t>第二十三条</w:t>
      </w:r>
      <w:r>
        <w:rPr>
          <w:rFonts w:hint="eastAsia"/>
          <w:b w:val="0"/>
          <w:bCs w:val="0"/>
          <w:lang w:val="en-US" w:eastAsia="zh-CN"/>
        </w:rPr>
        <w:t xml:space="preserve"> 分类评级结果</w:t>
      </w:r>
      <w:r>
        <w:rPr>
          <w:rFonts w:hint="eastAsia" w:ascii="Times New Roman" w:hAnsi="Times New Roman" w:eastAsia="仿宋_GB2312" w:cs="Times New Roman"/>
          <w:b w:val="0"/>
          <w:bCs w:val="0"/>
          <w:color w:val="000000"/>
          <w:spacing w:val="2"/>
          <w:sz w:val="32"/>
          <w:szCs w:val="32"/>
          <w:lang w:val="en-US" w:eastAsia="zh-CN" w:bidi="ar-SA"/>
        </w:rPr>
        <w:t>分为A级、B级、不通过三个</w:t>
      </w:r>
      <w:r>
        <w:rPr>
          <w:rFonts w:hint="eastAsia" w:ascii="Times New Roman" w:hAnsi="Times New Roman" w:cs="Times New Roman"/>
          <w:b w:val="0"/>
          <w:bCs w:val="0"/>
          <w:color w:val="000000"/>
          <w:spacing w:val="2"/>
          <w:sz w:val="32"/>
          <w:szCs w:val="32"/>
          <w:lang w:val="en-US" w:eastAsia="zh-CN" w:bidi="ar-SA"/>
        </w:rPr>
        <w:t>级别</w:t>
      </w:r>
      <w:r>
        <w:rPr>
          <w:rFonts w:hint="eastAsia" w:ascii="Times New Roman" w:hAnsi="Times New Roman" w:eastAsia="仿宋_GB2312" w:cs="Times New Roman"/>
          <w:b w:val="0"/>
          <w:bCs w:val="0"/>
          <w:color w:val="000000"/>
          <w:spacing w:val="2"/>
          <w:sz w:val="32"/>
          <w:szCs w:val="32"/>
          <w:lang w:val="en-US" w:eastAsia="zh-CN" w:bidi="ar-SA"/>
        </w:rPr>
        <w:t>：总得分</w:t>
      </w:r>
      <w:r>
        <w:rPr>
          <w:rFonts w:hint="eastAsia" w:ascii="Times New Roman" w:hAnsi="Times New Roman" w:cs="Times New Roman"/>
          <w:b w:val="0"/>
          <w:bCs w:val="0"/>
          <w:color w:val="000000"/>
          <w:spacing w:val="2"/>
          <w:sz w:val="32"/>
          <w:szCs w:val="32"/>
          <w:lang w:val="en-US" w:eastAsia="zh-CN" w:bidi="ar-SA"/>
        </w:rPr>
        <w:t>85</w:t>
      </w:r>
      <w:r>
        <w:rPr>
          <w:rFonts w:hint="eastAsia" w:ascii="Times New Roman" w:hAnsi="Times New Roman" w:eastAsia="仿宋_GB2312" w:cs="Times New Roman"/>
          <w:b w:val="0"/>
          <w:bCs w:val="0"/>
          <w:color w:val="000000"/>
          <w:spacing w:val="2"/>
          <w:sz w:val="32"/>
          <w:szCs w:val="32"/>
          <w:lang w:val="en-US" w:eastAsia="zh-CN" w:bidi="ar-SA"/>
        </w:rPr>
        <w:t>分（含）以上为A级，总得分</w:t>
      </w:r>
      <w:r>
        <w:rPr>
          <w:rFonts w:hint="eastAsia" w:ascii="Times New Roman" w:hAnsi="Times New Roman" w:cs="Times New Roman"/>
          <w:b w:val="0"/>
          <w:bCs w:val="0"/>
          <w:color w:val="000000"/>
          <w:spacing w:val="2"/>
          <w:sz w:val="32"/>
          <w:szCs w:val="32"/>
          <w:lang w:val="en-US" w:eastAsia="zh-CN" w:bidi="ar-SA"/>
        </w:rPr>
        <w:t>85</w:t>
      </w:r>
      <w:r>
        <w:rPr>
          <w:rFonts w:hint="eastAsia" w:ascii="Times New Roman" w:hAnsi="Times New Roman" w:eastAsia="仿宋_GB2312" w:cs="Times New Roman"/>
          <w:b w:val="0"/>
          <w:bCs w:val="0"/>
          <w:color w:val="000000"/>
          <w:spacing w:val="2"/>
          <w:sz w:val="32"/>
          <w:szCs w:val="32"/>
          <w:lang w:val="en-US" w:eastAsia="zh-CN" w:bidi="ar-SA"/>
        </w:rPr>
        <w:t>分（不含）</w:t>
      </w:r>
      <w:r>
        <w:rPr>
          <w:rFonts w:hint="eastAsia" w:ascii="宋体" w:hAnsi="宋体" w:eastAsia="宋体" w:cs="宋体"/>
          <w:b w:val="0"/>
          <w:bCs w:val="0"/>
          <w:color w:val="000000"/>
          <w:spacing w:val="2"/>
          <w:sz w:val="32"/>
          <w:szCs w:val="32"/>
          <w:lang w:val="en-US" w:eastAsia="zh-CN" w:bidi="ar-SA"/>
        </w:rPr>
        <w:t>—</w:t>
      </w:r>
      <w:r>
        <w:rPr>
          <w:rFonts w:hint="eastAsia" w:ascii="Times New Roman" w:hAnsi="Times New Roman" w:cs="Times New Roman"/>
          <w:b w:val="0"/>
          <w:bCs w:val="0"/>
          <w:color w:val="000000"/>
          <w:spacing w:val="2"/>
          <w:sz w:val="32"/>
          <w:szCs w:val="32"/>
          <w:lang w:val="en-US" w:eastAsia="zh-CN" w:bidi="ar-SA"/>
        </w:rPr>
        <w:t>70</w:t>
      </w:r>
      <w:r>
        <w:rPr>
          <w:rFonts w:hint="eastAsia" w:ascii="Times New Roman" w:hAnsi="Times New Roman" w:eastAsia="仿宋_GB2312" w:cs="Times New Roman"/>
          <w:b w:val="0"/>
          <w:bCs w:val="0"/>
          <w:color w:val="000000"/>
          <w:spacing w:val="2"/>
          <w:sz w:val="32"/>
          <w:szCs w:val="32"/>
          <w:lang w:val="en-US" w:eastAsia="zh-CN" w:bidi="ar-SA"/>
        </w:rPr>
        <w:t>分（含）为B级，总得分</w:t>
      </w:r>
      <w:r>
        <w:rPr>
          <w:rFonts w:hint="eastAsia" w:ascii="Times New Roman" w:hAnsi="Times New Roman" w:cs="Times New Roman"/>
          <w:b w:val="0"/>
          <w:bCs w:val="0"/>
          <w:color w:val="000000"/>
          <w:spacing w:val="2"/>
          <w:sz w:val="32"/>
          <w:szCs w:val="32"/>
          <w:lang w:val="en-US" w:eastAsia="zh-CN" w:bidi="ar-SA"/>
        </w:rPr>
        <w:t>70</w:t>
      </w:r>
      <w:r>
        <w:rPr>
          <w:rFonts w:hint="eastAsia" w:ascii="Times New Roman" w:hAnsi="Times New Roman" w:eastAsia="仿宋_GB2312" w:cs="Times New Roman"/>
          <w:b w:val="0"/>
          <w:bCs w:val="0"/>
          <w:color w:val="000000"/>
          <w:spacing w:val="2"/>
          <w:sz w:val="32"/>
          <w:szCs w:val="32"/>
          <w:lang w:val="en-US" w:eastAsia="zh-CN" w:bidi="ar-SA"/>
        </w:rPr>
        <w:t>分（不含）以下为“不通过”。A级为</w:t>
      </w:r>
      <w:r>
        <w:rPr>
          <w:rFonts w:hint="eastAsia" w:ascii="Times New Roman" w:hAnsi="Times New Roman" w:cs="Times New Roman"/>
          <w:b w:val="0"/>
          <w:bCs w:val="0"/>
          <w:color w:val="000000"/>
          <w:spacing w:val="2"/>
          <w:sz w:val="32"/>
          <w:szCs w:val="32"/>
          <w:lang w:val="en-US" w:eastAsia="zh-CN" w:bidi="ar-SA"/>
        </w:rPr>
        <w:t>经营良好</w:t>
      </w:r>
      <w:r>
        <w:rPr>
          <w:rFonts w:hint="eastAsia" w:ascii="Times New Roman" w:hAnsi="Times New Roman" w:eastAsia="仿宋_GB2312" w:cs="Times New Roman"/>
          <w:b w:val="0"/>
          <w:bCs w:val="0"/>
          <w:color w:val="000000"/>
          <w:spacing w:val="2"/>
          <w:sz w:val="32"/>
          <w:szCs w:val="32"/>
          <w:lang w:val="en-US" w:eastAsia="zh-CN" w:bidi="ar-SA"/>
        </w:rPr>
        <w:t>，B级</w:t>
      </w:r>
      <w:r>
        <w:rPr>
          <w:rFonts w:hint="eastAsia" w:ascii="Times New Roman" w:hAnsi="Times New Roman" w:cs="Times New Roman"/>
          <w:b w:val="0"/>
          <w:bCs w:val="0"/>
          <w:color w:val="000000"/>
          <w:spacing w:val="2"/>
          <w:sz w:val="32"/>
          <w:szCs w:val="32"/>
          <w:lang w:val="en-US" w:eastAsia="zh-CN" w:bidi="ar-SA"/>
        </w:rPr>
        <w:t>经营稳定</w:t>
      </w:r>
      <w:r>
        <w:rPr>
          <w:rFonts w:hint="eastAsia"/>
          <w:b w:val="0"/>
          <w:bCs w:val="0"/>
          <w:lang w:val="en-US" w:eastAsia="zh-CN"/>
        </w:rPr>
        <w:t>，“不通过”为经营存在严重问题或者长期可持续经营存在重大风险隐患。</w:t>
      </w:r>
    </w:p>
    <w:p w14:paraId="4C2AFE6A">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（一）评级结</w:t>
      </w:r>
      <w:r>
        <w:rPr>
          <w:rFonts w:hint="eastAsia" w:ascii="Times New Roman" w:hAnsi="Times New Roman" w:eastAsia="仿宋_GB2312" w:cs="Times New Roman"/>
          <w:b w:val="0"/>
          <w:bCs w:val="0"/>
          <w:color w:val="000000"/>
          <w:spacing w:val="2"/>
          <w:sz w:val="32"/>
          <w:szCs w:val="32"/>
          <w:lang w:val="en-US" w:eastAsia="zh-CN" w:bidi="ar-SA"/>
        </w:rPr>
        <w:t>果为</w:t>
      </w:r>
      <w:r>
        <w:rPr>
          <w:rFonts w:hint="eastAsia" w:ascii="Times New Roman" w:hAnsi="Times New Roman" w:cs="Times New Roman"/>
          <w:b w:val="0"/>
          <w:bCs w:val="0"/>
          <w:color w:val="000000"/>
          <w:spacing w:val="2"/>
          <w:sz w:val="32"/>
          <w:szCs w:val="32"/>
          <w:lang w:val="en-US" w:eastAsia="zh-CN" w:bidi="ar-SA"/>
        </w:rPr>
        <w:t>A级</w:t>
      </w:r>
      <w:r>
        <w:rPr>
          <w:rFonts w:hint="eastAsia"/>
          <w:b w:val="0"/>
          <w:bCs w:val="0"/>
          <w:lang w:val="en-US" w:eastAsia="zh-CN"/>
        </w:rPr>
        <w:t>的，支持通过银行借款、发行债券、发行资产证券化产品融资；支持依法依规申请扩展经营区域至全省范围内；支持依法依规申请开展下列部分或全部业务：</w:t>
      </w:r>
    </w:p>
    <w:p w14:paraId="2DA365E7">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1.商业汇票承兑、贴现；</w:t>
      </w:r>
    </w:p>
    <w:p w14:paraId="4C63BEFB">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2.法律、行政法规规定和国家金融监督管理总局同意开展的其他业务。</w:t>
      </w:r>
    </w:p>
    <w:p w14:paraId="66F216EF">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b w:val="0"/>
          <w:bCs w:val="0"/>
          <w:lang w:val="en-US" w:eastAsia="zh-CN"/>
        </w:rPr>
      </w:pPr>
      <w:r>
        <w:rPr>
          <w:rFonts w:hint="eastAsia"/>
          <w:b w:val="0"/>
          <w:bCs w:val="0"/>
          <w:lang w:val="en-US" w:eastAsia="zh-CN"/>
        </w:rPr>
        <w:t>得分为85分（含）至95分（不含）的支持依法依规申请扩展经营区域至本市（州）范围内。</w:t>
      </w:r>
    </w:p>
    <w:p w14:paraId="59EFF1F3">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得分为95分及以上的支持依法依规申请扩展经营区域至全省范围内。</w:t>
      </w:r>
    </w:p>
    <w:p w14:paraId="213746A3">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r>
        <w:rPr>
          <w:rFonts w:hint="eastAsia"/>
          <w:b w:val="0"/>
          <w:bCs w:val="0"/>
          <w:lang w:val="en-US" w:eastAsia="zh-CN"/>
        </w:rPr>
        <w:t>（二）评级结果</w:t>
      </w:r>
      <w:r>
        <w:rPr>
          <w:rFonts w:hint="eastAsia" w:ascii="Times New Roman" w:hAnsi="Times New Roman" w:eastAsia="仿宋_GB2312" w:cs="Times New Roman"/>
          <w:b w:val="0"/>
          <w:bCs w:val="0"/>
          <w:color w:val="000000"/>
          <w:spacing w:val="2"/>
          <w:sz w:val="32"/>
          <w:szCs w:val="32"/>
          <w:lang w:val="en-US" w:eastAsia="zh-CN" w:bidi="ar-SA"/>
        </w:rPr>
        <w:t>为B</w:t>
      </w:r>
      <w:r>
        <w:rPr>
          <w:rFonts w:hint="eastAsia" w:ascii="Times New Roman" w:hAnsi="Times New Roman" w:cs="Times New Roman"/>
          <w:b w:val="0"/>
          <w:bCs w:val="0"/>
          <w:color w:val="000000"/>
          <w:spacing w:val="2"/>
          <w:sz w:val="32"/>
          <w:szCs w:val="32"/>
          <w:lang w:val="en-US" w:eastAsia="zh-CN" w:bidi="ar-SA"/>
        </w:rPr>
        <w:t>级</w:t>
      </w:r>
      <w:r>
        <w:rPr>
          <w:rFonts w:hint="eastAsia" w:ascii="Times New Roman" w:hAnsi="Times New Roman" w:eastAsia="仿宋_GB2312" w:cs="Times New Roman"/>
          <w:b w:val="0"/>
          <w:bCs w:val="0"/>
          <w:color w:val="000000"/>
          <w:spacing w:val="2"/>
          <w:sz w:val="32"/>
          <w:szCs w:val="32"/>
          <w:lang w:val="en-US" w:eastAsia="zh-CN" w:bidi="ar-SA"/>
        </w:rPr>
        <w:t>的</w:t>
      </w:r>
      <w:r>
        <w:rPr>
          <w:rFonts w:hint="eastAsia"/>
          <w:b w:val="0"/>
          <w:bCs w:val="0"/>
          <w:lang w:val="en-US" w:eastAsia="zh-CN"/>
        </w:rPr>
        <w:t>，督促公司完善公司治理结构，控制风险较高、管理薄弱领域的业务增长和风险敞口。</w:t>
      </w:r>
    </w:p>
    <w:p w14:paraId="30E8C2D9">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b w:val="0"/>
          <w:bCs w:val="0"/>
          <w:lang w:val="en-US" w:eastAsia="zh-CN"/>
        </w:rPr>
      </w:pPr>
      <w:r>
        <w:rPr>
          <w:rFonts w:hint="eastAsia"/>
          <w:b w:val="0"/>
          <w:bCs w:val="0"/>
          <w:lang w:val="en-US" w:eastAsia="zh-CN"/>
        </w:rPr>
        <w:t>（三）评级结果为“不通过”的，纳入重点问题机构名单管理，采取必要监管措施，督促整改，防范风险外溢。完成整改或者消除相关风险隐患的，可通过此次监管评级；限期未能完成问题整改或者风险持续恶化的，可按有关规定推动其有序退出。</w:t>
      </w:r>
    </w:p>
    <w:p w14:paraId="2ACB70A8">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b w:val="0"/>
          <w:bCs w:val="0"/>
          <w:lang w:val="en-US" w:eastAsia="zh-CN"/>
        </w:rPr>
      </w:pPr>
      <w:r>
        <w:rPr>
          <w:rFonts w:hint="eastAsia" w:ascii="黑体" w:hAnsi="黑体" w:eastAsia="黑体" w:cs="黑体"/>
          <w:b w:val="0"/>
          <w:bCs w:val="0"/>
          <w:lang w:val="en-US" w:eastAsia="zh-CN"/>
        </w:rPr>
        <w:t>第二十四条</w:t>
      </w:r>
      <w:r>
        <w:rPr>
          <w:rFonts w:hint="eastAsia"/>
          <w:b w:val="0"/>
          <w:bCs w:val="0"/>
          <w:lang w:val="en-US" w:eastAsia="zh-CN"/>
        </w:rPr>
        <w:t xml:space="preserve"> 小额贷款公司分类评级结果主要用于地方金融管理部门监管和扶优限劣，供有关单位参考；小额贷款公司不得将分类结果用于广告、宣传、营销等商业目的。</w:t>
      </w:r>
    </w:p>
    <w:p w14:paraId="159867E9">
      <w:pPr>
        <w:keepNext w:val="0"/>
        <w:keepLines w:val="0"/>
        <w:pageBreakBefore w:val="0"/>
        <w:widowControl w:val="0"/>
        <w:kinsoku/>
        <w:wordWrap/>
        <w:overflowPunct/>
        <w:topLinePunct w:val="0"/>
        <w:bidi w:val="0"/>
        <w:adjustRightInd/>
        <w:snapToGrid/>
        <w:spacing w:line="560" w:lineRule="exact"/>
        <w:textAlignment w:val="auto"/>
        <w:rPr>
          <w:b w:val="0"/>
          <w:bCs w:val="0"/>
        </w:rPr>
      </w:pPr>
    </w:p>
    <w:p w14:paraId="29F60B2A">
      <w:pPr>
        <w:keepNext w:val="0"/>
        <w:keepLines w:val="0"/>
        <w:pageBreakBefore w:val="0"/>
        <w:widowControl w:val="0"/>
        <w:kinsoku/>
        <w:wordWrap/>
        <w:overflowPunct/>
        <w:topLinePunct w:val="0"/>
        <w:bidi w:val="0"/>
        <w:adjustRightInd/>
        <w:snapToGrid/>
        <w:spacing w:line="560" w:lineRule="exact"/>
        <w:jc w:val="center"/>
        <w:textAlignment w:val="auto"/>
        <w:rPr>
          <w:rFonts w:hint="default" w:eastAsia="仿宋_GB2312"/>
          <w:b w:val="0"/>
          <w:bCs w:val="0"/>
          <w:lang w:val="en-US" w:eastAsia="zh-CN"/>
        </w:rPr>
      </w:pPr>
      <w:r>
        <w:rPr>
          <w:rFonts w:hint="eastAsia" w:ascii="黑体" w:hAnsi="黑体" w:eastAsia="黑体" w:cs="黑体"/>
          <w:b w:val="0"/>
          <w:bCs w:val="0"/>
          <w:lang w:val="en-US" w:eastAsia="zh-CN"/>
        </w:rPr>
        <w:t>第五章 附 则</w:t>
      </w:r>
    </w:p>
    <w:p w14:paraId="32BB0C1F">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rPr>
      </w:pPr>
      <w:r>
        <w:rPr>
          <w:rFonts w:hint="eastAsia" w:ascii="黑体" w:hAnsi="黑体" w:eastAsia="黑体" w:cs="黑体"/>
          <w:b w:val="0"/>
          <w:bCs w:val="0"/>
        </w:rPr>
        <w:t>第</w:t>
      </w:r>
      <w:r>
        <w:rPr>
          <w:rFonts w:hint="eastAsia" w:ascii="黑体" w:hAnsi="黑体" w:eastAsia="黑体" w:cs="黑体"/>
          <w:b w:val="0"/>
          <w:bCs w:val="0"/>
          <w:lang w:val="en-US" w:eastAsia="zh-CN"/>
        </w:rPr>
        <w:t>二十五</w:t>
      </w:r>
      <w:r>
        <w:rPr>
          <w:rFonts w:hint="eastAsia" w:ascii="黑体" w:hAnsi="黑体" w:eastAsia="黑体" w:cs="黑体"/>
          <w:b w:val="0"/>
          <w:bCs w:val="0"/>
        </w:rPr>
        <w:t>条</w:t>
      </w:r>
      <w:r>
        <w:rPr>
          <w:rFonts w:hint="eastAsia"/>
          <w:b w:val="0"/>
          <w:bCs w:val="0"/>
        </w:rPr>
        <w:t xml:space="preserve"> 本办法中各类</w:t>
      </w:r>
      <w:r>
        <w:rPr>
          <w:rFonts w:hint="eastAsia"/>
          <w:b w:val="0"/>
          <w:bCs w:val="0"/>
          <w:lang w:val="en-US" w:eastAsia="zh-CN"/>
        </w:rPr>
        <w:t>业务</w:t>
      </w:r>
      <w:r>
        <w:rPr>
          <w:rFonts w:hint="eastAsia"/>
          <w:b w:val="0"/>
          <w:bCs w:val="0"/>
        </w:rPr>
        <w:t>指标计算数据以小额贷款公司监管信息系统上报数据为</w:t>
      </w:r>
      <w:r>
        <w:rPr>
          <w:rFonts w:hint="eastAsia"/>
          <w:b w:val="0"/>
          <w:bCs w:val="0"/>
          <w:lang w:val="en-US" w:eastAsia="zh-CN"/>
        </w:rPr>
        <w:t>依据</w:t>
      </w:r>
      <w:r>
        <w:rPr>
          <w:rFonts w:hint="eastAsia"/>
          <w:b w:val="0"/>
          <w:bCs w:val="0"/>
          <w:lang w:eastAsia="zh-CN"/>
        </w:rPr>
        <w:t>，</w:t>
      </w:r>
      <w:r>
        <w:rPr>
          <w:rFonts w:hint="eastAsia"/>
          <w:b w:val="0"/>
          <w:bCs w:val="0"/>
          <w:lang w:val="en-US" w:eastAsia="zh-CN"/>
        </w:rPr>
        <w:t>不良贷款率以及税收数据以国家金融监督管理总局下发统计表为依据。</w:t>
      </w:r>
    </w:p>
    <w:p w14:paraId="69A6C8AD">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rPr>
      </w:pPr>
      <w:r>
        <w:rPr>
          <w:rFonts w:hint="eastAsia" w:ascii="黑体" w:hAnsi="黑体" w:eastAsia="黑体" w:cs="黑体"/>
          <w:b w:val="0"/>
          <w:bCs w:val="0"/>
        </w:rPr>
        <w:t>第</w:t>
      </w:r>
      <w:r>
        <w:rPr>
          <w:rFonts w:hint="eastAsia" w:ascii="黑体" w:hAnsi="黑体" w:eastAsia="黑体" w:cs="黑体"/>
          <w:b w:val="0"/>
          <w:bCs w:val="0"/>
          <w:lang w:val="en-US" w:eastAsia="zh-CN"/>
        </w:rPr>
        <w:t>二十六</w:t>
      </w:r>
      <w:r>
        <w:rPr>
          <w:rFonts w:hint="eastAsia" w:ascii="黑体" w:hAnsi="黑体" w:eastAsia="黑体" w:cs="黑体"/>
          <w:b w:val="0"/>
          <w:bCs w:val="0"/>
        </w:rPr>
        <w:t>条</w:t>
      </w:r>
      <w:r>
        <w:rPr>
          <w:rFonts w:hint="eastAsia"/>
          <w:b w:val="0"/>
          <w:bCs w:val="0"/>
        </w:rPr>
        <w:t xml:space="preserve"> 省地方金融管理局根据</w:t>
      </w:r>
      <w:r>
        <w:rPr>
          <w:rFonts w:hint="eastAsia"/>
          <w:b w:val="0"/>
          <w:bCs w:val="0"/>
          <w:lang w:val="en-US" w:eastAsia="zh-CN"/>
        </w:rPr>
        <w:t>国家及省关于小额贷款公司的相关监管制度要求动态</w:t>
      </w:r>
      <w:r>
        <w:rPr>
          <w:rFonts w:hint="eastAsia"/>
          <w:b w:val="0"/>
          <w:bCs w:val="0"/>
        </w:rPr>
        <w:t>调整小额贷款公司分类评级的</w:t>
      </w:r>
      <w:r>
        <w:rPr>
          <w:rFonts w:hint="eastAsia"/>
          <w:b w:val="0"/>
          <w:bCs w:val="0"/>
          <w:lang w:val="en-US" w:eastAsia="zh-CN"/>
        </w:rPr>
        <w:t>评价体系</w:t>
      </w:r>
      <w:r>
        <w:rPr>
          <w:rFonts w:hint="eastAsia"/>
          <w:b w:val="0"/>
          <w:bCs w:val="0"/>
        </w:rPr>
        <w:t>。</w:t>
      </w:r>
    </w:p>
    <w:p w14:paraId="4A3D89DC">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eastAsia="仿宋_GB2312"/>
          <w:b w:val="0"/>
          <w:bCs w:val="0"/>
          <w:lang w:val="en-US" w:eastAsia="zh-CN"/>
        </w:rPr>
      </w:pPr>
      <w:r>
        <w:rPr>
          <w:rFonts w:hint="eastAsia" w:ascii="黑体" w:hAnsi="黑体" w:eastAsia="黑体" w:cs="黑体"/>
          <w:b w:val="0"/>
          <w:bCs w:val="0"/>
          <w:lang w:val="en-US" w:eastAsia="zh-CN"/>
        </w:rPr>
        <w:t>第二十七条</w:t>
      </w:r>
      <w:r>
        <w:rPr>
          <w:rFonts w:hint="eastAsia"/>
          <w:b w:val="0"/>
          <w:bCs w:val="0"/>
          <w:lang w:val="en-US" w:eastAsia="zh-CN"/>
        </w:rPr>
        <w:t xml:space="preserve">  本办法所称评价期是指完整的2个会计年度。评价期内的相关近2年平均数是指（完整的2个会计年度全省行业平均数之和）/2</w:t>
      </w:r>
      <w:r>
        <w:rPr>
          <w:rFonts w:hint="eastAsia" w:ascii="仿宋_GB2312" w:hAnsi="仿宋_GB2312" w:eastAsia="仿宋_GB2312" w:cs="仿宋_GB2312"/>
          <w:i w:val="0"/>
          <w:iCs w:val="0"/>
          <w:color w:val="auto"/>
          <w:kern w:val="2"/>
          <w:sz w:val="32"/>
          <w:szCs w:val="32"/>
          <w:u w:val="none"/>
          <w:lang w:val="en-US" w:eastAsia="zh-CN" w:bidi="ar"/>
        </w:rPr>
        <w:t>×100%</w:t>
      </w:r>
      <w:r>
        <w:rPr>
          <w:rFonts w:hint="eastAsia"/>
          <w:b w:val="0"/>
          <w:bCs w:val="0"/>
          <w:lang w:val="en-US" w:eastAsia="zh-CN"/>
        </w:rPr>
        <w:t>、（完整的2个会计年度参评小额贷款公司相关评级指标数之和）/2</w:t>
      </w:r>
      <w:r>
        <w:rPr>
          <w:rFonts w:hint="eastAsia" w:ascii="仿宋_GB2312" w:hAnsi="仿宋_GB2312" w:eastAsia="仿宋_GB2312" w:cs="仿宋_GB2312"/>
          <w:i w:val="0"/>
          <w:iCs w:val="0"/>
          <w:color w:val="auto"/>
          <w:kern w:val="2"/>
          <w:sz w:val="32"/>
          <w:szCs w:val="32"/>
          <w:u w:val="none"/>
          <w:lang w:val="en-US" w:eastAsia="zh-CN" w:bidi="ar"/>
        </w:rPr>
        <w:t>×100%</w:t>
      </w:r>
      <w:r>
        <w:rPr>
          <w:rFonts w:hint="eastAsia" w:cs="仿宋_GB2312"/>
          <w:i w:val="0"/>
          <w:iCs w:val="0"/>
          <w:color w:val="auto"/>
          <w:kern w:val="2"/>
          <w:sz w:val="32"/>
          <w:szCs w:val="32"/>
          <w:u w:val="none"/>
          <w:lang w:val="en-US" w:eastAsia="zh-CN" w:bidi="ar"/>
        </w:rPr>
        <w:t>。</w:t>
      </w:r>
    </w:p>
    <w:p w14:paraId="7381B1CA">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rPr>
      </w:pPr>
      <w:r>
        <w:rPr>
          <w:rFonts w:hint="eastAsia" w:ascii="黑体" w:hAnsi="黑体" w:eastAsia="黑体" w:cs="黑体"/>
          <w:b w:val="0"/>
          <w:bCs w:val="0"/>
        </w:rPr>
        <w:t>第</w:t>
      </w:r>
      <w:r>
        <w:rPr>
          <w:rFonts w:hint="eastAsia" w:ascii="黑体" w:hAnsi="黑体" w:eastAsia="黑体" w:cs="黑体"/>
          <w:b w:val="0"/>
          <w:bCs w:val="0"/>
          <w:lang w:val="en-US" w:eastAsia="zh-CN"/>
        </w:rPr>
        <w:t>二十八</w:t>
      </w:r>
      <w:r>
        <w:rPr>
          <w:rFonts w:hint="eastAsia" w:ascii="黑体" w:hAnsi="黑体" w:eastAsia="黑体" w:cs="黑体"/>
          <w:b w:val="0"/>
          <w:bCs w:val="0"/>
        </w:rPr>
        <w:t>条</w:t>
      </w:r>
      <w:r>
        <w:rPr>
          <w:rFonts w:hint="eastAsia"/>
          <w:b w:val="0"/>
          <w:bCs w:val="0"/>
        </w:rPr>
        <w:t xml:space="preserve"> 本办法由省地方金融管理局负责解释。</w:t>
      </w:r>
    </w:p>
    <w:p w14:paraId="0248087A">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eastAsia="zh-CN"/>
        </w:rPr>
      </w:pPr>
      <w:r>
        <w:rPr>
          <w:rFonts w:hint="eastAsia" w:ascii="黑体" w:hAnsi="黑体" w:eastAsia="黑体" w:cs="黑体"/>
          <w:b w:val="0"/>
          <w:bCs w:val="0"/>
        </w:rPr>
        <w:t>第</w:t>
      </w:r>
      <w:r>
        <w:rPr>
          <w:rFonts w:hint="eastAsia" w:ascii="黑体" w:hAnsi="黑体" w:eastAsia="黑体" w:cs="黑体"/>
          <w:b w:val="0"/>
          <w:bCs w:val="0"/>
          <w:lang w:val="en-US" w:eastAsia="zh-CN"/>
        </w:rPr>
        <w:t>二十九</w:t>
      </w:r>
      <w:r>
        <w:rPr>
          <w:rFonts w:hint="eastAsia" w:ascii="黑体" w:hAnsi="黑体" w:eastAsia="黑体" w:cs="黑体"/>
          <w:b w:val="0"/>
          <w:bCs w:val="0"/>
        </w:rPr>
        <w:t>条</w:t>
      </w:r>
      <w:r>
        <w:rPr>
          <w:rFonts w:hint="eastAsia"/>
          <w:b w:val="0"/>
          <w:bCs w:val="0"/>
        </w:rPr>
        <w:t xml:space="preserve"> 本办法自印发之日起施行</w:t>
      </w:r>
      <w:r>
        <w:rPr>
          <w:rFonts w:hint="eastAsia"/>
          <w:b w:val="0"/>
          <w:bCs w:val="0"/>
          <w:lang w:eastAsia="zh-CN"/>
        </w:rPr>
        <w:t>。</w:t>
      </w:r>
    </w:p>
    <w:p w14:paraId="2777835C">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b w:val="0"/>
          <w:bCs w:val="0"/>
          <w:lang w:val="en-US" w:eastAsia="zh-CN"/>
        </w:rPr>
      </w:pPr>
    </w:p>
    <w:p w14:paraId="0FA54F2F">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cs="Times New Roman"/>
          <w:b w:val="0"/>
          <w:bCs w:val="0"/>
          <w:spacing w:val="-20"/>
          <w:lang w:val="en-US" w:eastAsia="zh-CN"/>
        </w:rPr>
      </w:pPr>
      <w:r>
        <w:rPr>
          <w:rFonts w:hint="default" w:ascii="Times New Roman" w:hAnsi="Times New Roman" w:cs="Times New Roman"/>
          <w:b w:val="0"/>
          <w:bCs w:val="0"/>
          <w:lang w:val="en-US" w:eastAsia="zh-CN"/>
        </w:rPr>
        <w:t>附件：</w:t>
      </w:r>
      <w:r>
        <w:rPr>
          <w:rFonts w:hint="default" w:ascii="Times New Roman" w:hAnsi="Times New Roman" w:cs="Times New Roman"/>
          <w:b w:val="0"/>
          <w:bCs w:val="0"/>
          <w:spacing w:val="-20"/>
          <w:lang w:val="en-US" w:eastAsia="zh-CN"/>
        </w:rPr>
        <w:t>贵州省小额贷款公司监管评级评价体系表（2025版）</w:t>
      </w:r>
    </w:p>
    <w:p w14:paraId="2A2DBCE6">
      <w:pPr>
        <w:keepNext w:val="0"/>
        <w:keepLines w:val="0"/>
        <w:pageBreakBefore w:val="0"/>
        <w:widowControl/>
        <w:kinsoku/>
        <w:wordWrap/>
        <w:overflowPunct/>
        <w:topLinePunct w:val="0"/>
        <w:bidi w:val="0"/>
        <w:adjustRightInd/>
        <w:snapToGrid/>
        <w:spacing w:line="240" w:lineRule="auto"/>
        <w:ind w:firstLine="0" w:firstLineChars="0"/>
        <w:textAlignment w:val="auto"/>
        <w:rPr>
          <w:rFonts w:hint="eastAsia"/>
          <w:b w:val="0"/>
          <w:bCs w:val="0"/>
          <w:lang w:val="en-US" w:eastAsia="zh-CN"/>
        </w:rPr>
      </w:pPr>
      <w:r>
        <w:rPr>
          <w:rFonts w:hint="eastAsia"/>
          <w:b w:val="0"/>
          <w:bCs w:val="0"/>
          <w:lang w:val="en-US" w:eastAsia="zh-CN"/>
        </w:rPr>
        <w:br w:type="page"/>
      </w:r>
    </w:p>
    <w:p w14:paraId="295BF2B7">
      <w:pPr>
        <w:keepNext w:val="0"/>
        <w:keepLines w:val="0"/>
        <w:pageBreakBefore w:val="0"/>
        <w:widowControl w:val="0"/>
        <w:kinsoku/>
        <w:wordWrap/>
        <w:overflowPunct/>
        <w:topLinePunct w:val="0"/>
        <w:bidi w:val="0"/>
        <w:adjustRightInd/>
        <w:snapToGrid/>
        <w:spacing w:line="560" w:lineRule="exact"/>
        <w:ind w:firstLine="0" w:firstLineChars="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 件</w:t>
      </w:r>
    </w:p>
    <w:p w14:paraId="10A15A92">
      <w:pPr>
        <w:keepNext w:val="0"/>
        <w:keepLines w:val="0"/>
        <w:pageBreakBefore w:val="0"/>
        <w:widowControl w:val="0"/>
        <w:kinsoku/>
        <w:wordWrap/>
        <w:overflowPunct/>
        <w:topLinePunct w:val="0"/>
        <w:bidi w:val="0"/>
        <w:adjustRightInd/>
        <w:snapToGrid/>
        <w:spacing w:line="560" w:lineRule="exact"/>
        <w:ind w:firstLine="0" w:firstLineChars="0"/>
        <w:textAlignment w:val="auto"/>
        <w:rPr>
          <w:rFonts w:hint="eastAsia"/>
          <w:b w:val="0"/>
          <w:bCs w:val="0"/>
          <w:lang w:val="en-US" w:eastAsia="zh-CN"/>
        </w:rPr>
      </w:pPr>
    </w:p>
    <w:p w14:paraId="64B54667">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贵州省小额贷款公司监管评级评价体系表</w:t>
      </w:r>
      <w:r>
        <w:rPr>
          <w:rFonts w:hint="eastAsia" w:ascii="方正小标宋简体" w:hAnsi="方正小标宋简体" w:eastAsia="方正小标宋简体" w:cs="方正小标宋简体"/>
          <w:b w:val="0"/>
          <w:bCs w:val="0"/>
          <w:sz w:val="44"/>
          <w:szCs w:val="44"/>
          <w:lang w:val="en-US" w:eastAsia="zh-CN"/>
        </w:rPr>
        <w:br w:type="textWrapping"/>
      </w:r>
      <w:r>
        <w:rPr>
          <w:rFonts w:hint="eastAsia" w:ascii="方正小标宋简体" w:hAnsi="方正小标宋简体" w:eastAsia="方正小标宋简体" w:cs="方正小标宋简体"/>
          <w:b w:val="0"/>
          <w:bCs w:val="0"/>
          <w:sz w:val="44"/>
          <w:szCs w:val="44"/>
          <w:lang w:val="en-US" w:eastAsia="zh-CN"/>
        </w:rPr>
        <w:t>（2025版）</w:t>
      </w:r>
    </w:p>
    <w:p w14:paraId="24A4C0D9">
      <w:pPr>
        <w:keepNext w:val="0"/>
        <w:keepLines w:val="0"/>
        <w:pageBreakBefore w:val="0"/>
        <w:widowControl w:val="0"/>
        <w:kinsoku/>
        <w:wordWrap/>
        <w:overflowPunct/>
        <w:topLinePunct w:val="0"/>
        <w:bidi w:val="0"/>
        <w:adjustRightInd/>
        <w:snapToGrid/>
        <w:spacing w:line="560" w:lineRule="exact"/>
        <w:ind w:firstLine="0" w:firstLineChars="0"/>
        <w:textAlignment w:val="auto"/>
        <w:rPr>
          <w:rFonts w:hint="default"/>
          <w:b w:val="0"/>
          <w:bCs w:val="0"/>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161"/>
        <w:gridCol w:w="4356"/>
        <w:gridCol w:w="631"/>
        <w:gridCol w:w="723"/>
        <w:gridCol w:w="1052"/>
        <w:tblGridChange w:id="0">
          <w:tblGrid>
            <w:gridCol w:w="599"/>
            <w:gridCol w:w="4"/>
            <w:gridCol w:w="1157"/>
            <w:gridCol w:w="4356"/>
            <w:gridCol w:w="631"/>
            <w:gridCol w:w="723"/>
            <w:gridCol w:w="1052"/>
          </w:tblGrid>
        </w:tblGridChange>
      </w:tblGrid>
      <w:tr w14:paraId="1E5B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6582">
            <w:pPr>
              <w:keepNext w:val="0"/>
              <w:keepLines w:val="0"/>
              <w:widowControl/>
              <w:suppressLineNumbers w:val="0"/>
              <w:jc w:val="center"/>
              <w:textAlignment w:val="center"/>
              <w:rPr>
                <w:rFonts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序号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11C0">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二级指标</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594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评分标准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2E7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分值</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3CB4">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得分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0EBD">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说明材料</w:t>
            </w:r>
          </w:p>
        </w:tc>
      </w:tr>
      <w:tr w14:paraId="2474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250613">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一、公司治理（15分）</w:t>
            </w:r>
          </w:p>
        </w:tc>
      </w:tr>
      <w:tr w14:paraId="18C2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6F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77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法人治理架构建立</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E3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依照《中华人民共和国公司法》以及公司有关规定，公司是否设立了股东会、董事会（执行董事）、监事会（监事、审计委员会</w:t>
            </w:r>
            <w:r>
              <w:rPr>
                <w:rFonts w:hint="eastAsia" w:ascii="宋体" w:hAnsi="宋体" w:eastAsia="宋体" w:cs="宋体"/>
                <w:i w:val="0"/>
                <w:iCs w:val="0"/>
                <w:color w:val="auto"/>
                <w:kern w:val="0"/>
                <w:sz w:val="18"/>
                <w:szCs w:val="18"/>
                <w:u w:val="none"/>
                <w:lang w:val="en-US" w:eastAsia="zh-CN" w:bidi="ar"/>
              </w:rPr>
              <w:t>、审计岗</w:t>
            </w:r>
            <w:r>
              <w:rPr>
                <w:rFonts w:hint="eastAsia" w:ascii="宋体" w:hAnsi="宋体" w:eastAsia="宋体" w:cs="宋体"/>
                <w:i w:val="0"/>
                <w:iCs w:val="0"/>
                <w:color w:val="auto"/>
                <w:kern w:val="0"/>
                <w:sz w:val="18"/>
                <w:szCs w:val="18"/>
                <w:u w:val="none"/>
                <w:lang w:val="en-US" w:eastAsia="zh-CN" w:bidi="ar"/>
              </w:rPr>
              <w:t>）、经理层（总经理）；并制定相应的股东会议事规则、董事会议事规则、监事会议事规则（可不设置监事会及监事的，提供审计委员会规则</w:t>
            </w:r>
            <w:r>
              <w:rPr>
                <w:rFonts w:hint="eastAsia" w:ascii="宋体" w:hAnsi="宋体" w:eastAsia="宋体" w:cs="宋体"/>
                <w:i w:val="0"/>
                <w:iCs w:val="0"/>
                <w:color w:val="auto"/>
                <w:kern w:val="0"/>
                <w:sz w:val="18"/>
                <w:szCs w:val="18"/>
                <w:u w:val="none"/>
                <w:lang w:val="en-US" w:eastAsia="zh-CN" w:bidi="ar"/>
              </w:rPr>
              <w:t>、审计岗岗位职责</w:t>
            </w:r>
            <w:r>
              <w:rPr>
                <w:rFonts w:hint="eastAsia" w:ascii="宋体" w:hAnsi="宋体" w:eastAsia="宋体" w:cs="宋体"/>
                <w:i w:val="0"/>
                <w:iCs w:val="0"/>
                <w:color w:val="auto"/>
                <w:kern w:val="0"/>
                <w:sz w:val="18"/>
                <w:szCs w:val="18"/>
                <w:u w:val="none"/>
                <w:lang w:val="en-US" w:eastAsia="zh-CN" w:bidi="ar"/>
              </w:rPr>
              <w:t>）、经理层</w:t>
            </w:r>
            <w:r>
              <w:rPr>
                <w:rFonts w:hint="eastAsia" w:ascii="宋体" w:hAnsi="宋体" w:eastAsia="宋体" w:cs="宋体"/>
                <w:i w:val="0"/>
                <w:iCs w:val="0"/>
                <w:color w:val="auto"/>
                <w:kern w:val="0"/>
                <w:sz w:val="18"/>
                <w:szCs w:val="18"/>
                <w:u w:val="none"/>
                <w:lang w:val="en-US" w:eastAsia="zh-CN" w:bidi="ar"/>
              </w:rPr>
              <w:t>会议</w:t>
            </w:r>
            <w:r>
              <w:rPr>
                <w:rFonts w:hint="eastAsia" w:ascii="宋体" w:hAnsi="宋体" w:eastAsia="宋体" w:cs="宋体"/>
                <w:i w:val="0"/>
                <w:iCs w:val="0"/>
                <w:color w:val="auto"/>
                <w:kern w:val="0"/>
                <w:sz w:val="18"/>
                <w:szCs w:val="18"/>
                <w:u w:val="none"/>
                <w:lang w:val="en-US" w:eastAsia="zh-CN" w:bidi="ar"/>
              </w:rPr>
              <w:t>议事规则，制定上述4项议事规则的（注：一人股东的，制定股东决定规则；执行董事的，制定执行董事决定规则</w:t>
            </w:r>
            <w:r>
              <w:rPr>
                <w:rFonts w:hint="eastAsia" w:ascii="宋体" w:hAnsi="宋体" w:eastAsia="宋体" w:cs="宋体"/>
                <w:i w:val="0"/>
                <w:iCs w:val="0"/>
                <w:color w:val="auto"/>
                <w:kern w:val="0"/>
                <w:sz w:val="18"/>
                <w:szCs w:val="18"/>
                <w:u w:val="none"/>
                <w:lang w:val="en-US" w:eastAsia="zh-CN" w:bidi="ar"/>
              </w:rPr>
              <w:t>；监事的（审计岗），制定监事（审计岗岗位）职责；总经理的，制定总经理决定规则</w:t>
            </w:r>
            <w:r>
              <w:rPr>
                <w:rFonts w:hint="eastAsia" w:ascii="宋体" w:hAnsi="宋体" w:eastAsia="宋体" w:cs="宋体"/>
                <w:i w:val="0"/>
                <w:iCs w:val="0"/>
                <w:color w:val="auto"/>
                <w:kern w:val="0"/>
                <w:sz w:val="18"/>
                <w:szCs w:val="18"/>
                <w:u w:val="none"/>
                <w:lang w:val="en-US" w:eastAsia="zh-CN" w:bidi="ar"/>
              </w:rPr>
              <w:t>），得4分，未制定或制定不全的，得0分，满分4分。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B0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417D">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42EA">
            <w:pPr>
              <w:rPr>
                <w:rFonts w:hint="eastAsia" w:ascii="宋体" w:hAnsi="宋体" w:eastAsia="宋体" w:cs="宋体"/>
                <w:i w:val="0"/>
                <w:iCs w:val="0"/>
                <w:color w:val="auto"/>
                <w:sz w:val="22"/>
                <w:szCs w:val="22"/>
                <w:u w:val="none"/>
              </w:rPr>
            </w:pPr>
          </w:p>
        </w:tc>
      </w:tr>
      <w:tr w14:paraId="12DB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9E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09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法人治理架构运行</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13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1.依照《中华人民共和国公司法》以及公司有关规定，经理层向董事会</w:t>
            </w:r>
            <w:r>
              <w:rPr>
                <w:rFonts w:hint="eastAsia" w:ascii="宋体" w:hAnsi="宋体" w:eastAsia="宋体" w:cs="宋体"/>
                <w:i w:val="0"/>
                <w:iCs w:val="0"/>
                <w:color w:val="auto"/>
                <w:kern w:val="0"/>
                <w:sz w:val="18"/>
                <w:szCs w:val="18"/>
                <w:u w:val="none"/>
                <w:lang w:val="en-US" w:eastAsia="zh-CN" w:bidi="ar"/>
              </w:rPr>
              <w:t>（执行董事）</w:t>
            </w:r>
            <w:r>
              <w:rPr>
                <w:rFonts w:hint="eastAsia" w:ascii="宋体" w:hAnsi="宋体" w:eastAsia="宋体" w:cs="宋体"/>
                <w:i w:val="0"/>
                <w:iCs w:val="0"/>
                <w:color w:val="auto"/>
                <w:kern w:val="0"/>
                <w:sz w:val="18"/>
                <w:szCs w:val="18"/>
                <w:u w:val="none"/>
                <w:lang w:val="en-US" w:eastAsia="zh-CN" w:bidi="ar"/>
              </w:rPr>
              <w:t>及监事会</w:t>
            </w:r>
            <w:r>
              <w:rPr>
                <w:rFonts w:hint="eastAsia" w:ascii="宋体" w:hAnsi="宋体" w:eastAsia="宋体" w:cs="宋体"/>
                <w:i w:val="0"/>
                <w:iCs w:val="0"/>
                <w:color w:val="auto"/>
                <w:kern w:val="0"/>
                <w:sz w:val="18"/>
                <w:szCs w:val="18"/>
                <w:u w:val="none"/>
                <w:lang w:val="en-US" w:eastAsia="zh-CN" w:bidi="ar"/>
              </w:rPr>
              <w:t>（监事、审计委员会、审计岗）</w:t>
            </w:r>
            <w:r>
              <w:rPr>
                <w:rFonts w:hint="eastAsia" w:ascii="宋体" w:hAnsi="宋体" w:eastAsia="宋体" w:cs="宋体"/>
                <w:i w:val="0"/>
                <w:iCs w:val="0"/>
                <w:color w:val="auto"/>
                <w:kern w:val="0"/>
                <w:sz w:val="18"/>
                <w:szCs w:val="18"/>
                <w:u w:val="none"/>
                <w:lang w:val="en-US" w:eastAsia="zh-CN" w:bidi="ar"/>
              </w:rPr>
              <w:t>提交年度履职报告；报告经董事会审议通过，监事会检查通过的，得1分，未审议及检查通过的，得0分。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2.依照《中华人民共和国公司法》以及公司有关规定，董事会</w:t>
            </w:r>
            <w:r>
              <w:rPr>
                <w:rFonts w:hint="eastAsia" w:ascii="宋体" w:hAnsi="宋体" w:eastAsia="宋体" w:cs="宋体"/>
                <w:i w:val="0"/>
                <w:iCs w:val="0"/>
                <w:color w:val="auto"/>
                <w:kern w:val="0"/>
                <w:sz w:val="18"/>
                <w:szCs w:val="18"/>
                <w:u w:val="none"/>
                <w:lang w:val="en-US" w:eastAsia="zh-CN" w:bidi="ar"/>
              </w:rPr>
              <w:t>（执行董事）</w:t>
            </w:r>
            <w:r>
              <w:rPr>
                <w:rFonts w:hint="eastAsia" w:ascii="宋体" w:hAnsi="宋体" w:eastAsia="宋体" w:cs="宋体"/>
                <w:i w:val="0"/>
                <w:iCs w:val="0"/>
                <w:color w:val="auto"/>
                <w:kern w:val="0"/>
                <w:sz w:val="18"/>
                <w:szCs w:val="18"/>
                <w:u w:val="none"/>
                <w:lang w:val="en-US" w:eastAsia="zh-CN" w:bidi="ar"/>
              </w:rPr>
              <w:t>、监事会</w:t>
            </w:r>
            <w:r>
              <w:rPr>
                <w:rFonts w:hint="eastAsia" w:ascii="宋体" w:hAnsi="宋体" w:eastAsia="宋体" w:cs="宋体"/>
                <w:i w:val="0"/>
                <w:iCs w:val="0"/>
                <w:color w:val="auto"/>
                <w:kern w:val="0"/>
                <w:sz w:val="18"/>
                <w:szCs w:val="18"/>
                <w:u w:val="none"/>
                <w:lang w:val="en-US" w:eastAsia="zh-CN" w:bidi="ar"/>
              </w:rPr>
              <w:t>（监事、审计委员会、审计岗）</w:t>
            </w:r>
            <w:r>
              <w:rPr>
                <w:rFonts w:hint="eastAsia" w:ascii="宋体" w:hAnsi="宋体" w:eastAsia="宋体" w:cs="宋体"/>
                <w:i w:val="0"/>
                <w:iCs w:val="0"/>
                <w:color w:val="auto"/>
                <w:kern w:val="0"/>
                <w:sz w:val="18"/>
                <w:szCs w:val="18"/>
                <w:u w:val="none"/>
                <w:lang w:val="en-US" w:eastAsia="zh-CN" w:bidi="ar"/>
              </w:rPr>
              <w:t>向股东会提交年度履职报告；报告经股东大会审议通过的，得1分，未审议通过的，得0分。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3.应当《中华人民共和国公司法》以及公司有关规定，应当召开股东会、董事会、监事会</w:t>
            </w:r>
            <w:r>
              <w:rPr>
                <w:rFonts w:hint="eastAsia" w:ascii="宋体" w:hAnsi="宋体" w:eastAsia="宋体" w:cs="宋体"/>
                <w:i w:val="0"/>
                <w:iCs w:val="0"/>
                <w:color w:val="auto"/>
                <w:kern w:val="0"/>
                <w:sz w:val="18"/>
                <w:szCs w:val="18"/>
                <w:u w:val="none"/>
                <w:lang w:val="en-US" w:eastAsia="zh-CN" w:bidi="ar"/>
              </w:rPr>
              <w:t>（审计委员会）</w:t>
            </w:r>
            <w:r>
              <w:rPr>
                <w:rFonts w:hint="eastAsia" w:ascii="宋体" w:hAnsi="宋体" w:eastAsia="宋体" w:cs="宋体"/>
                <w:i w:val="0"/>
                <w:iCs w:val="0"/>
                <w:color w:val="auto"/>
                <w:kern w:val="0"/>
                <w:sz w:val="18"/>
                <w:szCs w:val="18"/>
                <w:u w:val="none"/>
                <w:lang w:val="en-US" w:eastAsia="zh-CN" w:bidi="ar"/>
              </w:rPr>
              <w:t>、经理会的（须有会议纪要），得2分。公司只有一个股东、执行董事、监事</w:t>
            </w:r>
            <w:r>
              <w:rPr>
                <w:rFonts w:hint="eastAsia" w:ascii="宋体" w:hAnsi="宋体" w:eastAsia="宋体" w:cs="宋体"/>
                <w:i w:val="0"/>
                <w:iCs w:val="0"/>
                <w:color w:val="auto"/>
                <w:kern w:val="0"/>
                <w:sz w:val="18"/>
                <w:szCs w:val="18"/>
                <w:u w:val="none"/>
                <w:lang w:val="en-US" w:eastAsia="zh-CN" w:bidi="ar"/>
              </w:rPr>
              <w:t>（审计岗）</w:t>
            </w:r>
            <w:r>
              <w:rPr>
                <w:rFonts w:hint="eastAsia" w:ascii="宋体" w:hAnsi="宋体" w:eastAsia="宋体" w:cs="宋体"/>
                <w:i w:val="0"/>
                <w:iCs w:val="0"/>
                <w:color w:val="auto"/>
                <w:kern w:val="0"/>
                <w:sz w:val="18"/>
                <w:szCs w:val="18"/>
                <w:u w:val="none"/>
                <w:lang w:val="en-US" w:eastAsia="zh-CN" w:bidi="ar"/>
              </w:rPr>
              <w:t>、经理的，提供权限内事项决定，未召开会议、未提供相关决定的，得0分。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85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ECEF">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1896">
            <w:pPr>
              <w:rPr>
                <w:rFonts w:hint="eastAsia" w:ascii="宋体" w:hAnsi="宋体" w:eastAsia="宋体" w:cs="宋体"/>
                <w:i w:val="0"/>
                <w:iCs w:val="0"/>
                <w:color w:val="auto"/>
                <w:sz w:val="22"/>
                <w:szCs w:val="22"/>
                <w:u w:val="none"/>
              </w:rPr>
            </w:pPr>
          </w:p>
        </w:tc>
      </w:tr>
      <w:tr w14:paraId="1D2B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5D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95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绩效考核</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BA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理制定公司年度绩效考核指标，明确公司管理层与员工绩效激励的，得1分，未制定绩效考核指标，得0分；以公司会议、书面文件等形式反映奖励和惩戒的，得1分，未以公司会议、书面文件等形式反映的，得0分。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55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3107">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2A52">
            <w:pPr>
              <w:rPr>
                <w:rFonts w:hint="eastAsia" w:ascii="宋体" w:hAnsi="宋体" w:eastAsia="宋体" w:cs="宋体"/>
                <w:i w:val="0"/>
                <w:iCs w:val="0"/>
                <w:color w:val="auto"/>
                <w:sz w:val="22"/>
                <w:szCs w:val="22"/>
                <w:u w:val="none"/>
              </w:rPr>
            </w:pPr>
          </w:p>
        </w:tc>
      </w:tr>
      <w:tr w14:paraId="2331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89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28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组织架构</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A4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明确公司组织架构，设有职能明确、健全完备的信贷、风控、财务等部门或配备相关专职人员，得2分，公司缺少信贷、风控、财务等部门，也未配备相关专职人员的，得0分。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4A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60B">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5230">
            <w:pPr>
              <w:rPr>
                <w:rFonts w:hint="eastAsia" w:ascii="宋体" w:hAnsi="宋体" w:eastAsia="宋体" w:cs="宋体"/>
                <w:i w:val="0"/>
                <w:iCs w:val="0"/>
                <w:color w:val="auto"/>
                <w:sz w:val="22"/>
                <w:szCs w:val="22"/>
                <w:u w:val="none"/>
              </w:rPr>
            </w:pPr>
          </w:p>
        </w:tc>
      </w:tr>
      <w:tr w14:paraId="7245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66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制度建设</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B7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小额贷款公司监督管理暂行办法》《贵州省地方金融监督管理条例》等国家及省关于小额贷款公司监管的有关规定制定，按照审慎经营要求，制定和实施规范的业务规则和管理制度，资产风险分类制度、风险准备金制度、财务管理制度、消费者权益保护制度、消费者投诉处理制</w:t>
            </w:r>
            <w:r>
              <w:rPr>
                <w:rFonts w:hint="eastAsia" w:ascii="宋体" w:hAnsi="宋体" w:eastAsia="宋体" w:cs="宋体"/>
                <w:i w:val="0"/>
                <w:iCs w:val="0"/>
                <w:color w:val="auto"/>
                <w:kern w:val="0"/>
                <w:sz w:val="18"/>
                <w:szCs w:val="18"/>
                <w:u w:val="none"/>
                <w:lang w:val="en-US" w:eastAsia="zh-CN" w:bidi="ar"/>
              </w:rPr>
              <w:t>度、</w:t>
            </w:r>
            <w:r>
              <w:rPr>
                <w:rFonts w:hint="eastAsia" w:ascii="宋体" w:hAnsi="宋体" w:eastAsia="宋体" w:cs="宋体"/>
                <w:i w:val="0"/>
                <w:iCs w:val="0"/>
                <w:color w:val="auto"/>
                <w:kern w:val="0"/>
                <w:sz w:val="18"/>
                <w:szCs w:val="18"/>
                <w:u w:val="none"/>
                <w:lang w:val="en-US" w:eastAsia="zh-CN" w:bidi="ar"/>
              </w:rPr>
              <w:t>关联交易管理制度、催收管理制度、信息披露制度、信息科技管理制度、档案管理制度，得3分；网络小额贷款公司还需要同时符合</w:t>
            </w:r>
            <w:r>
              <w:rPr>
                <w:rFonts w:hint="eastAsia" w:ascii="宋体" w:hAnsi="宋体" w:eastAsia="宋体" w:cs="宋体"/>
                <w:i w:val="0"/>
                <w:iCs w:val="0"/>
                <w:caps w:val="0"/>
                <w:color w:val="auto"/>
                <w:spacing w:val="0"/>
                <w:kern w:val="0"/>
                <w:sz w:val="18"/>
                <w:szCs w:val="18"/>
                <w:u w:val="none"/>
                <w:shd w:val="clear" w:fill="auto"/>
                <w:lang w:bidi="ar"/>
              </w:rPr>
              <w:t>网络安全与数据安全管理</w:t>
            </w:r>
            <w:r>
              <w:rPr>
                <w:rFonts w:hint="eastAsia" w:ascii="宋体" w:hAnsi="宋体" w:eastAsia="宋体" w:cs="宋体"/>
                <w:i w:val="0"/>
                <w:iCs w:val="0"/>
                <w:caps w:val="0"/>
                <w:color w:val="auto"/>
                <w:spacing w:val="0"/>
                <w:kern w:val="0"/>
                <w:sz w:val="18"/>
                <w:szCs w:val="18"/>
                <w:u w:val="none"/>
                <w:shd w:val="clear" w:fill="auto"/>
                <w:lang w:val="en-US" w:eastAsia="zh-CN" w:bidi="ar"/>
              </w:rPr>
              <w:t>要求，</w:t>
            </w:r>
            <w:r>
              <w:rPr>
                <w:rFonts w:hint="eastAsia" w:ascii="宋体" w:hAnsi="宋体" w:eastAsia="宋体" w:cs="宋体"/>
                <w:i w:val="0"/>
                <w:iCs w:val="0"/>
                <w:color w:val="auto"/>
                <w:kern w:val="0"/>
                <w:sz w:val="18"/>
                <w:szCs w:val="18"/>
                <w:u w:val="none"/>
                <w:lang w:val="en-US" w:eastAsia="zh-CN" w:bidi="ar"/>
              </w:rPr>
              <w:t>具有完善的防火墙、入侵检测、数据加密、应急处置预案以及灾难恢复等网络安全设施和管理制度。</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1A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A210">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8BD0">
            <w:pPr>
              <w:rPr>
                <w:rFonts w:hint="eastAsia" w:ascii="宋体" w:hAnsi="宋体" w:eastAsia="宋体" w:cs="宋体"/>
                <w:i w:val="0"/>
                <w:iCs w:val="0"/>
                <w:color w:val="auto"/>
                <w:sz w:val="22"/>
                <w:szCs w:val="22"/>
                <w:u w:val="none"/>
              </w:rPr>
            </w:pPr>
          </w:p>
        </w:tc>
      </w:tr>
      <w:tr w14:paraId="0BAC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A71E">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二、业务经营和风险防控（30分）</w:t>
            </w:r>
          </w:p>
        </w:tc>
      </w:tr>
      <w:tr w14:paraId="0141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4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43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业务范围和经营区域</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D7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1.小额贷款公司在经省地方金融管理局批准的经营区域内开展业务；2.在省地方金融管理局批准的业务范围内开展经营。上述每项2分，对应缺项不得分，满分4分。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14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FA4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2601">
            <w:pPr>
              <w:rPr>
                <w:rFonts w:hint="eastAsia" w:ascii="宋体" w:hAnsi="宋体" w:eastAsia="宋体" w:cs="宋体"/>
                <w:i w:val="0"/>
                <w:iCs w:val="0"/>
                <w:color w:val="auto"/>
                <w:sz w:val="20"/>
                <w:szCs w:val="20"/>
                <w:u w:val="none"/>
              </w:rPr>
            </w:pPr>
          </w:p>
        </w:tc>
      </w:tr>
      <w:tr w14:paraId="39E9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37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9C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营业场所</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A4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8"/>
                <w:rFonts w:ascii="宋体" w:hAnsi="宋体" w:eastAsia="宋体" w:cs="宋体"/>
                <w:color w:val="auto"/>
                <w:lang w:val="en-US" w:eastAsia="zh-CN" w:bidi="ar"/>
              </w:rPr>
              <w:t>1.公司有符合经营及监管要求的营业场所，并在经营场所明示公司营业执照、相关金融业务批复的，</w:t>
            </w:r>
            <w:r>
              <w:rPr>
                <w:rStyle w:val="9"/>
                <w:rFonts w:ascii="宋体" w:hAnsi="宋体" w:eastAsia="宋体" w:cs="宋体"/>
                <w:color w:val="auto"/>
                <w:lang w:val="en-US" w:eastAsia="zh-CN" w:bidi="ar"/>
              </w:rPr>
              <w:t>得2分</w:t>
            </w:r>
            <w:r>
              <w:rPr>
                <w:rStyle w:val="8"/>
                <w:rFonts w:ascii="宋体" w:hAnsi="宋体" w:eastAsia="宋体" w:cs="宋体"/>
                <w:color w:val="auto"/>
                <w:lang w:val="en-US" w:eastAsia="zh-CN" w:bidi="ar"/>
              </w:rPr>
              <w:t>；营业场所不符合前述经营要求的，得0分。</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2.在经营场所内制定实施完善的安全生产制度并落实到位的，</w:t>
            </w:r>
            <w:r>
              <w:rPr>
                <w:rStyle w:val="9"/>
                <w:rFonts w:ascii="宋体" w:hAnsi="宋体" w:eastAsia="宋体" w:cs="宋体"/>
                <w:color w:val="auto"/>
                <w:lang w:val="en-US" w:eastAsia="zh-CN" w:bidi="ar"/>
              </w:rPr>
              <w:t>得2分</w:t>
            </w:r>
            <w:r>
              <w:rPr>
                <w:rStyle w:val="8"/>
                <w:rFonts w:ascii="宋体" w:hAnsi="宋体" w:eastAsia="宋体" w:cs="宋体"/>
                <w:color w:val="auto"/>
                <w:lang w:val="en-US" w:eastAsia="zh-CN" w:bidi="ar"/>
              </w:rPr>
              <w:t>，相关安全生产管理未落实或落实不到位的，得0分；</w:t>
            </w:r>
            <w:r>
              <w:rPr>
                <w:rStyle w:val="9"/>
                <w:rFonts w:ascii="宋体" w:hAnsi="宋体" w:eastAsia="宋体" w:cs="宋体"/>
                <w:color w:val="auto"/>
                <w:lang w:val="en-US" w:eastAsia="zh-CN" w:bidi="ar"/>
              </w:rPr>
              <w:t>满分4分。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73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9857">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0493">
            <w:pPr>
              <w:rPr>
                <w:rFonts w:hint="eastAsia" w:ascii="宋体" w:hAnsi="宋体" w:eastAsia="宋体" w:cs="宋体"/>
                <w:i w:val="0"/>
                <w:iCs w:val="0"/>
                <w:color w:val="auto"/>
                <w:sz w:val="22"/>
                <w:szCs w:val="22"/>
                <w:u w:val="none"/>
              </w:rPr>
            </w:pPr>
          </w:p>
        </w:tc>
      </w:tr>
      <w:tr w14:paraId="12A2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B5F4">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85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业务档案管理</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C3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严格执行公司档案管理制度，业务档案等资料真实完整、管理规范的，归档保存的，得1分，相关档案不完整或账证不符的，得0分。满分1分。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C3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DEF9">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F7FC">
            <w:pPr>
              <w:rPr>
                <w:rFonts w:hint="eastAsia" w:ascii="宋体" w:hAnsi="宋体" w:eastAsia="宋体" w:cs="宋体"/>
                <w:i w:val="0"/>
                <w:iCs w:val="0"/>
                <w:color w:val="auto"/>
                <w:sz w:val="22"/>
                <w:szCs w:val="22"/>
                <w:u w:val="none"/>
              </w:rPr>
            </w:pPr>
          </w:p>
        </w:tc>
      </w:tr>
      <w:tr w14:paraId="2A44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662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3F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信贷管理</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6A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8"/>
                <w:rFonts w:ascii="宋体" w:hAnsi="宋体" w:eastAsia="宋体" w:cs="宋体"/>
                <w:color w:val="auto"/>
                <w:lang w:val="en-US" w:eastAsia="zh-CN" w:bidi="ar"/>
              </w:rPr>
              <w:t>严格执行公司信贷管理制度：</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1.严格授权审批、审贷分离，落实</w:t>
            </w:r>
            <w:r>
              <w:rPr>
                <w:rStyle w:val="9"/>
                <w:rFonts w:ascii="宋体" w:hAnsi="宋体" w:eastAsia="宋体" w:cs="宋体"/>
                <w:color w:val="auto"/>
                <w:lang w:val="en-US" w:eastAsia="zh-CN" w:bidi="ar"/>
              </w:rPr>
              <w:t>贷前审核、</w:t>
            </w:r>
            <w:r>
              <w:rPr>
                <w:rStyle w:val="8"/>
                <w:rFonts w:ascii="宋体" w:hAnsi="宋体" w:eastAsia="宋体" w:cs="宋体"/>
                <w:color w:val="auto"/>
                <w:lang w:val="en-US" w:eastAsia="zh-CN" w:bidi="ar"/>
              </w:rPr>
              <w:t>尽职调查、审查审批、风险控制、后续管理等各项要求；</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2.每年末上报经董事会审议通过的信贷管理制度年度执行情况报告。上述每项2分，对应缺项不得分，满分4分。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D8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188C">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2DE2">
            <w:pPr>
              <w:rPr>
                <w:rFonts w:hint="eastAsia" w:ascii="宋体" w:hAnsi="宋体" w:eastAsia="宋体" w:cs="宋体"/>
                <w:i w:val="0"/>
                <w:iCs w:val="0"/>
                <w:color w:val="auto"/>
                <w:sz w:val="22"/>
                <w:szCs w:val="22"/>
                <w:u w:val="none"/>
              </w:rPr>
            </w:pPr>
          </w:p>
        </w:tc>
      </w:tr>
      <w:tr w14:paraId="4370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3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4B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资产风险分类和风险准备金</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F5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8"/>
                <w:rFonts w:ascii="宋体" w:hAnsi="宋体" w:eastAsia="宋体" w:cs="宋体"/>
                <w:color w:val="auto"/>
                <w:lang w:val="en-US" w:eastAsia="zh-CN" w:bidi="ar"/>
              </w:rPr>
              <w:t>严格执行资产风险分类和风险准备金制度。</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1.风险准备金制度应当明确贷款风险分类类别、每类风险</w:t>
            </w:r>
            <w:r>
              <w:rPr>
                <w:rStyle w:val="8"/>
                <w:rFonts w:hint="eastAsia" w:ascii="宋体" w:hAnsi="宋体" w:eastAsia="宋体" w:cs="宋体"/>
                <w:color w:val="auto"/>
                <w:lang w:val="en-US" w:eastAsia="zh-CN" w:bidi="ar"/>
              </w:rPr>
              <w:t>项下风险资产应当根据可收回性个别认定计提的损失准备</w:t>
            </w:r>
            <w:r>
              <w:rPr>
                <w:rStyle w:val="8"/>
                <w:rFonts w:ascii="宋体" w:hAnsi="宋体" w:eastAsia="宋体" w:cs="宋体"/>
                <w:color w:val="auto"/>
                <w:lang w:val="en-US" w:eastAsia="zh-CN" w:bidi="ar"/>
              </w:rPr>
              <w:t>，并按制度规定计提风险准备金。</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2.每年末上报经董事会（执行董事）审议通过的风险分类制度和风险准备金制度年度执行情况报告；</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3.资产风险分类制度将逾期超过90天的贷款划分为不良贷款并按此规定实施；</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上述每项2分，</w:t>
            </w:r>
            <w:r>
              <w:rPr>
                <w:rStyle w:val="9"/>
                <w:rFonts w:ascii="宋体" w:hAnsi="宋体" w:eastAsia="宋体" w:cs="宋体"/>
                <w:color w:val="auto"/>
                <w:lang w:val="en-US" w:eastAsia="zh-CN" w:bidi="ar"/>
              </w:rPr>
              <w:t>未制定或制定及落实不全的，得0分；满分6分。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5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D296">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6769">
            <w:pPr>
              <w:rPr>
                <w:rFonts w:hint="eastAsia" w:ascii="宋体" w:hAnsi="宋体" w:eastAsia="宋体" w:cs="宋体"/>
                <w:i w:val="0"/>
                <w:iCs w:val="0"/>
                <w:color w:val="auto"/>
                <w:sz w:val="22"/>
                <w:szCs w:val="22"/>
                <w:u w:val="none"/>
              </w:rPr>
            </w:pPr>
          </w:p>
        </w:tc>
      </w:tr>
      <w:tr w14:paraId="3E73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4A9">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32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关联交易管理</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72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严格执行关联交易管理制度：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1.重大关联交易应当经股东会或董事会批准，明确对关联方的交易不优于非关联方，与关联交易存在关联关系的股东、董事不得参与该笔交易表决（单一股东的公司除外）；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2.在会计报表附注中披露关联方及关联交易等信息，重大关联交易应当逐笔披露。上述每项2分，对应缺项不得分，满分4分。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15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4152">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D133">
            <w:pPr>
              <w:rPr>
                <w:rFonts w:hint="eastAsia" w:ascii="宋体" w:hAnsi="宋体" w:eastAsia="宋体" w:cs="宋体"/>
                <w:i w:val="0"/>
                <w:iCs w:val="0"/>
                <w:color w:val="auto"/>
                <w:sz w:val="22"/>
                <w:szCs w:val="22"/>
                <w:u w:val="none"/>
              </w:rPr>
            </w:pPr>
          </w:p>
        </w:tc>
      </w:tr>
      <w:tr w14:paraId="177C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B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5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单笔贷款限额</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C0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1.对同一借款人的各项贷款余额不得超过评级上一年末净资产的10%；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2.对同一借款人及其关联方的各项贷款余额不得超过评级上一年末净资产的15%。上述每项2分，对应缺项不得分，满分4分。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网络小额贷款公司除满足前款规定外，1.对单户用于消费的贷款余额不得超过人民币二十万元；2.对单户用于生产经营的各项贷款余额不得超过人民币一千万元。上述2条与第一款合并计算分数，对应缺项不得分。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9E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F81">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7BB0">
            <w:pPr>
              <w:rPr>
                <w:rFonts w:hint="eastAsia" w:ascii="宋体" w:hAnsi="宋体" w:eastAsia="宋体" w:cs="宋体"/>
                <w:i w:val="0"/>
                <w:iCs w:val="0"/>
                <w:color w:val="auto"/>
                <w:sz w:val="22"/>
                <w:szCs w:val="22"/>
                <w:u w:val="none"/>
              </w:rPr>
            </w:pPr>
          </w:p>
        </w:tc>
      </w:tr>
      <w:tr w14:paraId="077A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6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99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合作机构管理</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8F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1.建立合作机构名单制管理制度，明确覆盖各类合作机构的统一准入机制以及明确相应标准和程序；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2.确保合作机构网站、移动应用程序（APP）、小程序等经过依法备案；上述要求每满足1项得1.5分，对应缺项不得分。</w:t>
            </w:r>
            <w:bookmarkStart w:id="0" w:name="_GoBack"/>
            <w:bookmarkEnd w:id="0"/>
            <w:r>
              <w:rPr>
                <w:rFonts w:hint="eastAsia" w:ascii="宋体" w:hAnsi="宋体" w:eastAsia="宋体" w:cs="宋体"/>
                <w:i w:val="0"/>
                <w:iCs w:val="0"/>
                <w:color w:val="auto"/>
                <w:kern w:val="0"/>
                <w:sz w:val="18"/>
                <w:szCs w:val="18"/>
                <w:u w:val="none"/>
                <w:lang w:val="en-US" w:eastAsia="zh-CN" w:bidi="ar"/>
              </w:rPr>
              <w:t>满分3分。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76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9C66">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553A">
            <w:pPr>
              <w:rPr>
                <w:rFonts w:hint="eastAsia" w:ascii="宋体" w:hAnsi="宋体" w:eastAsia="宋体" w:cs="宋体"/>
                <w:i w:val="0"/>
                <w:iCs w:val="0"/>
                <w:color w:val="auto"/>
                <w:sz w:val="22"/>
                <w:szCs w:val="22"/>
                <w:u w:val="none"/>
              </w:rPr>
            </w:pPr>
          </w:p>
        </w:tc>
      </w:tr>
      <w:tr w14:paraId="6BF0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1246">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三、财务管理（30分）</w:t>
            </w:r>
          </w:p>
        </w:tc>
      </w:tr>
      <w:tr w14:paraId="7D25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D289">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49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基本要求</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09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8"/>
                <w:rFonts w:ascii="宋体" w:hAnsi="宋体" w:eastAsia="宋体" w:cs="宋体"/>
                <w:color w:val="auto"/>
                <w:lang w:val="en-US" w:eastAsia="zh-CN" w:bidi="ar"/>
              </w:rPr>
              <w:t>1.设置会计机构并配备足额会计人员，实现会计人员不相容职责分离的，得1分；</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2.按照《中华人民共和国会计法》《企业会计准则》完整进行财务核算、建立真实财务账册、凭证整理装订成册的，得1分；</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3.小额贷款公司按规定进行年度财务审计，财务审计报告按照相关规定[ 相关规定是指符合《关于加强审计报告查验工作的通知》（财会〔2023〕15号）有关规定，对财务报告及附表进行赋码（所赋码应当是财政部赋予的验证码）]赋码并获得无保留意见的，得1.5分，财务审计报告按照相关规定赋码并获得保留意见的，得1分，财务审计报告未按照有关规定赋码、出具其他非无保留意见或者拒绝出具意见的为0分。</w:t>
            </w:r>
            <w:r>
              <w:rPr>
                <w:rStyle w:val="8"/>
                <w:rFonts w:ascii="宋体" w:hAnsi="宋体" w:eastAsia="宋体" w:cs="宋体"/>
                <w:color w:val="auto"/>
                <w:lang w:val="en-US" w:eastAsia="zh-CN" w:bidi="ar"/>
              </w:rPr>
              <w:br w:type="textWrapping"/>
            </w:r>
            <w:r>
              <w:rPr>
                <w:rStyle w:val="9"/>
                <w:rFonts w:ascii="宋体" w:hAnsi="宋体" w:eastAsia="宋体" w:cs="宋体"/>
                <w:color w:val="auto"/>
                <w:lang w:val="en-US" w:eastAsia="zh-CN" w:bidi="ar"/>
              </w:rPr>
              <w:t>4.贷款发放时，贷款资金发放发起、审核由不同岗位完成得1分，同一岗位完成得0分</w:t>
            </w:r>
            <w:r>
              <w:rPr>
                <w:rStyle w:val="8"/>
                <w:rFonts w:ascii="宋体" w:hAnsi="宋体" w:eastAsia="宋体" w:cs="宋体"/>
                <w:color w:val="auto"/>
                <w:lang w:val="en-US" w:eastAsia="zh-CN" w:bidi="ar"/>
              </w:rPr>
              <w:t>。满分</w:t>
            </w:r>
            <w:r>
              <w:rPr>
                <w:rStyle w:val="8"/>
                <w:rFonts w:hint="eastAsia" w:ascii="宋体" w:hAnsi="宋体" w:eastAsia="宋体" w:cs="宋体"/>
                <w:color w:val="auto"/>
                <w:lang w:val="en-US" w:eastAsia="zh-CN" w:bidi="ar"/>
              </w:rPr>
              <w:t>4</w:t>
            </w:r>
            <w:r>
              <w:rPr>
                <w:rStyle w:val="8"/>
                <w:rFonts w:ascii="宋体" w:hAnsi="宋体" w:eastAsia="宋体" w:cs="宋体"/>
                <w:color w:val="auto"/>
                <w:lang w:val="en-US" w:eastAsia="zh-CN" w:bidi="ar"/>
              </w:rPr>
              <w:t>.5分。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B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0FBB">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9D78">
            <w:pPr>
              <w:rPr>
                <w:rFonts w:hint="eastAsia" w:ascii="宋体" w:hAnsi="宋体" w:eastAsia="宋体" w:cs="宋体"/>
                <w:i w:val="0"/>
                <w:iCs w:val="0"/>
                <w:color w:val="auto"/>
                <w:sz w:val="22"/>
                <w:szCs w:val="22"/>
                <w:u w:val="none"/>
              </w:rPr>
            </w:pPr>
          </w:p>
        </w:tc>
      </w:tr>
      <w:tr w14:paraId="6A9B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9C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B5A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放贷专户管理</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1FE1">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Style w:val="8"/>
                <w:rFonts w:ascii="宋体" w:hAnsi="宋体" w:eastAsia="宋体" w:cs="宋体"/>
                <w:color w:val="auto"/>
                <w:lang w:val="en-US" w:eastAsia="zh-CN" w:bidi="ar"/>
              </w:rPr>
              <w:t>1.放贷资金实施专户管理，所有放贷资金必须进入放贷专户，所有贷款发放和本息收回必须通过放贷专户；</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2.根据属地监管原则，向地方金融管理机构报备放贷专户，按季度提供放贷专户运营报告和开户银行出具的放贷专户资金流水明细。上述</w:t>
            </w:r>
            <w:r>
              <w:rPr>
                <w:rStyle w:val="9"/>
                <w:rFonts w:ascii="宋体" w:hAnsi="宋体" w:eastAsia="宋体" w:cs="宋体"/>
                <w:color w:val="auto"/>
                <w:lang w:val="en-US" w:eastAsia="zh-CN" w:bidi="ar"/>
              </w:rPr>
              <w:t>每项</w:t>
            </w:r>
            <w:r>
              <w:rPr>
                <w:rStyle w:val="9"/>
                <w:rFonts w:hint="eastAsia" w:ascii="宋体" w:hAnsi="宋体" w:eastAsia="宋体" w:cs="宋体"/>
                <w:color w:val="auto"/>
                <w:lang w:val="en-US" w:eastAsia="zh-CN" w:bidi="ar"/>
              </w:rPr>
              <w:t>1.5</w:t>
            </w:r>
            <w:r>
              <w:rPr>
                <w:rStyle w:val="9"/>
                <w:rFonts w:ascii="宋体" w:hAnsi="宋体" w:eastAsia="宋体" w:cs="宋体"/>
                <w:color w:val="auto"/>
                <w:lang w:val="en-US" w:eastAsia="zh-CN" w:bidi="ar"/>
              </w:rPr>
              <w:t>分</w:t>
            </w:r>
            <w:r>
              <w:rPr>
                <w:rStyle w:val="8"/>
                <w:rFonts w:ascii="宋体" w:hAnsi="宋体" w:eastAsia="宋体" w:cs="宋体"/>
                <w:color w:val="auto"/>
                <w:lang w:val="en-US" w:eastAsia="zh-CN" w:bidi="ar"/>
              </w:rPr>
              <w:t>，对应缺项不得分，</w:t>
            </w:r>
            <w:r>
              <w:rPr>
                <w:rStyle w:val="9"/>
                <w:rFonts w:ascii="宋体" w:hAnsi="宋体" w:eastAsia="宋体" w:cs="宋体"/>
                <w:color w:val="auto"/>
                <w:lang w:val="en-US" w:eastAsia="zh-CN" w:bidi="ar"/>
              </w:rPr>
              <w:t>满分</w:t>
            </w:r>
            <w:r>
              <w:rPr>
                <w:rStyle w:val="9"/>
                <w:rFonts w:hint="eastAsia" w:ascii="宋体" w:hAnsi="宋体" w:eastAsia="宋体" w:cs="宋体"/>
                <w:color w:val="auto"/>
                <w:lang w:val="en-US" w:eastAsia="zh-CN" w:bidi="ar"/>
              </w:rPr>
              <w:t>3</w:t>
            </w:r>
            <w:r>
              <w:rPr>
                <w:rStyle w:val="9"/>
                <w:rFonts w:ascii="宋体" w:hAnsi="宋体" w:eastAsia="宋体" w:cs="宋体"/>
                <w:color w:val="auto"/>
                <w:lang w:val="en-US" w:eastAsia="zh-CN" w:bidi="ar"/>
              </w:rPr>
              <w:t>分</w:t>
            </w:r>
            <w:r>
              <w:rPr>
                <w:rStyle w:val="8"/>
                <w:rFonts w:ascii="宋体" w:hAnsi="宋体" w:eastAsia="宋体" w:cs="宋体"/>
                <w:color w:val="auto"/>
                <w:lang w:val="en-US" w:eastAsia="zh-CN" w:bidi="ar"/>
              </w:rPr>
              <w:t>。</w:t>
            </w:r>
            <w:r>
              <w:rPr>
                <w:rStyle w:val="8"/>
                <w:rFonts w:ascii="宋体" w:hAnsi="宋体" w:eastAsia="宋体" w:cs="宋体"/>
                <w:color w:val="auto"/>
                <w:lang w:val="en-US" w:eastAsia="zh-CN" w:bidi="ar"/>
              </w:rPr>
              <w:br w:type="textWrapping"/>
            </w:r>
            <w:r>
              <w:rPr>
                <w:rStyle w:val="8"/>
                <w:rFonts w:ascii="宋体" w:hAnsi="宋体" w:eastAsia="宋体" w:cs="宋体"/>
                <w:color w:val="auto"/>
                <w:lang w:val="en-US" w:eastAsia="zh-CN" w:bidi="ar"/>
              </w:rPr>
              <w:t>3.利用股东、董事、监事、高级管理人员、内部职工、关联人员个人账户发放和回收贷款的，本项得0分。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4A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D72B">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D098">
            <w:pPr>
              <w:rPr>
                <w:rFonts w:hint="eastAsia" w:ascii="宋体" w:hAnsi="宋体" w:eastAsia="宋体" w:cs="宋体"/>
                <w:i w:val="0"/>
                <w:iCs w:val="0"/>
                <w:color w:val="auto"/>
                <w:sz w:val="22"/>
                <w:szCs w:val="22"/>
                <w:u w:val="none"/>
              </w:rPr>
            </w:pPr>
          </w:p>
        </w:tc>
      </w:tr>
      <w:tr w14:paraId="7723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44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C11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利润率</w:t>
            </w:r>
            <w:r>
              <w:rPr>
                <w:rFonts w:hint="eastAsia" w:ascii="宋体" w:hAnsi="宋体" w:eastAsia="宋体" w:cs="宋体"/>
                <w:i w:val="0"/>
                <w:iCs w:val="0"/>
                <w:color w:val="auto"/>
                <w:kern w:val="0"/>
                <w:sz w:val="18"/>
                <w:szCs w:val="18"/>
                <w:u w:val="none"/>
                <w:lang w:val="en-US" w:eastAsia="zh-CN" w:bidi="ar"/>
              </w:rPr>
              <w:t>情况</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668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评价期内低于全省行业近2年平均数80%的，得0分。</w:t>
            </w:r>
          </w:p>
          <w:p w14:paraId="4485B9A9">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评价期内达到全省行业近2年平均数80%（含）-100%（不含）的，得0.5分；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评价期内达到全省行业近2年平均数100%（含）-120%（不含）的，得1分。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评价期内超过全省行业近2年平均数20%的，得1.5分。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A5C7">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95ED">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609A">
            <w:pPr>
              <w:rPr>
                <w:rFonts w:hint="eastAsia" w:ascii="宋体" w:hAnsi="宋体" w:eastAsia="宋体" w:cs="宋体"/>
                <w:i w:val="0"/>
                <w:iCs w:val="0"/>
                <w:color w:val="auto"/>
                <w:sz w:val="22"/>
                <w:szCs w:val="22"/>
                <w:u w:val="none"/>
              </w:rPr>
            </w:pPr>
          </w:p>
        </w:tc>
      </w:tr>
      <w:tr w14:paraId="31E5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A8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220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资本收益率情况</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C5C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评价期内低于全省行业近2年平均数</w:t>
            </w:r>
            <w:r>
              <w:rPr>
                <w:rFonts w:hint="eastAsia" w:ascii="宋体" w:hAnsi="宋体" w:eastAsia="宋体" w:cs="宋体"/>
                <w:i w:val="0"/>
                <w:iCs w:val="0"/>
                <w:color w:val="auto"/>
                <w:kern w:val="0"/>
                <w:sz w:val="18"/>
                <w:szCs w:val="18"/>
                <w:u w:val="none"/>
                <w:lang w:val="en-US" w:eastAsia="zh-CN" w:bidi="ar"/>
              </w:rPr>
              <w:t>80%</w:t>
            </w:r>
            <w:r>
              <w:rPr>
                <w:rFonts w:hint="eastAsia" w:ascii="宋体" w:hAnsi="宋体" w:eastAsia="宋体" w:cs="宋体"/>
                <w:i w:val="0"/>
                <w:iCs w:val="0"/>
                <w:color w:val="auto"/>
                <w:kern w:val="0"/>
                <w:sz w:val="18"/>
                <w:szCs w:val="18"/>
                <w:u w:val="none"/>
                <w:lang w:val="en-US" w:eastAsia="zh-CN" w:bidi="ar"/>
              </w:rPr>
              <w:t>的，得0分。</w:t>
            </w:r>
          </w:p>
          <w:p w14:paraId="13977E71">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评价期内达到全省行业近2年平均数80%（含）-100%（不含）的，得0.5分；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评价期内达到全省行业近2年平均数</w:t>
            </w:r>
            <w:r>
              <w:rPr>
                <w:rFonts w:hint="eastAsia" w:ascii="宋体" w:hAnsi="宋体" w:eastAsia="宋体" w:cs="宋体"/>
                <w:i w:val="0"/>
                <w:iCs w:val="0"/>
                <w:color w:val="auto"/>
                <w:kern w:val="0"/>
                <w:sz w:val="18"/>
                <w:szCs w:val="18"/>
                <w:u w:val="none"/>
                <w:lang w:val="en-US" w:eastAsia="zh-CN" w:bidi="ar"/>
              </w:rPr>
              <w:t>100%（含）-120%（不含）</w:t>
            </w:r>
            <w:r>
              <w:rPr>
                <w:rFonts w:hint="eastAsia" w:ascii="宋体" w:hAnsi="宋体" w:eastAsia="宋体" w:cs="宋体"/>
                <w:i w:val="0"/>
                <w:iCs w:val="0"/>
                <w:color w:val="auto"/>
                <w:kern w:val="0"/>
                <w:sz w:val="18"/>
                <w:szCs w:val="18"/>
                <w:u w:val="none"/>
                <w:lang w:val="en-US" w:eastAsia="zh-CN" w:bidi="ar"/>
              </w:rPr>
              <w:t>的，得1分。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评价期内超过全省行业近2年平均数</w:t>
            </w:r>
            <w:r>
              <w:rPr>
                <w:rFonts w:hint="eastAsia" w:ascii="宋体" w:hAnsi="宋体" w:eastAsia="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0%的，得1.5分。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DD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B967">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0C0D">
            <w:pPr>
              <w:rPr>
                <w:rFonts w:hint="eastAsia" w:ascii="宋体" w:hAnsi="宋体" w:eastAsia="宋体" w:cs="宋体"/>
                <w:i w:val="0"/>
                <w:iCs w:val="0"/>
                <w:color w:val="auto"/>
                <w:sz w:val="22"/>
                <w:szCs w:val="22"/>
                <w:u w:val="none"/>
              </w:rPr>
            </w:pPr>
          </w:p>
        </w:tc>
      </w:tr>
      <w:tr w14:paraId="71F3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90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CB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净资产收益率情况</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17A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评价期内低于全省行业近2年平均数</w:t>
            </w:r>
            <w:r>
              <w:rPr>
                <w:rFonts w:hint="eastAsia" w:ascii="宋体" w:hAnsi="宋体" w:eastAsia="宋体" w:cs="宋体"/>
                <w:i w:val="0"/>
                <w:iCs w:val="0"/>
                <w:color w:val="auto"/>
                <w:kern w:val="0"/>
                <w:sz w:val="18"/>
                <w:szCs w:val="18"/>
                <w:u w:val="none"/>
                <w:lang w:val="en-US" w:eastAsia="zh-CN" w:bidi="ar"/>
              </w:rPr>
              <w:t>80%</w:t>
            </w:r>
            <w:r>
              <w:rPr>
                <w:rFonts w:hint="eastAsia" w:ascii="宋体" w:hAnsi="宋体" w:eastAsia="宋体" w:cs="宋体"/>
                <w:i w:val="0"/>
                <w:iCs w:val="0"/>
                <w:color w:val="auto"/>
                <w:kern w:val="0"/>
                <w:sz w:val="18"/>
                <w:szCs w:val="18"/>
                <w:u w:val="none"/>
                <w:lang w:val="en-US" w:eastAsia="zh-CN" w:bidi="ar"/>
              </w:rPr>
              <w:t>的，得0分。</w:t>
            </w:r>
          </w:p>
          <w:p w14:paraId="318C1994">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评价期内达到全省行业近2年平均数80%（含）-100%（不含）的，得0.5分；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评价期内达到全省行业近2年平均数</w:t>
            </w:r>
            <w:r>
              <w:rPr>
                <w:rFonts w:hint="eastAsia" w:ascii="宋体" w:hAnsi="宋体" w:eastAsia="宋体" w:cs="宋体"/>
                <w:i w:val="0"/>
                <w:iCs w:val="0"/>
                <w:color w:val="auto"/>
                <w:kern w:val="0"/>
                <w:sz w:val="18"/>
                <w:szCs w:val="18"/>
                <w:u w:val="none"/>
                <w:lang w:val="en-US" w:eastAsia="zh-CN" w:bidi="ar"/>
              </w:rPr>
              <w:t>100%（含）-110%（不含）</w:t>
            </w:r>
            <w:r>
              <w:rPr>
                <w:rFonts w:hint="eastAsia" w:ascii="宋体" w:hAnsi="宋体" w:eastAsia="宋体" w:cs="宋体"/>
                <w:i w:val="0"/>
                <w:iCs w:val="0"/>
                <w:color w:val="auto"/>
                <w:kern w:val="0"/>
                <w:sz w:val="18"/>
                <w:szCs w:val="18"/>
                <w:u w:val="none"/>
                <w:lang w:val="en-US" w:eastAsia="zh-CN" w:bidi="ar"/>
              </w:rPr>
              <w:t>的，得1分。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评价期内超过全省行业近2年平均数</w:t>
            </w:r>
            <w:r>
              <w:rPr>
                <w:rFonts w:hint="eastAsia" w:ascii="宋体" w:hAnsi="宋体" w:eastAsia="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0%的，得</w:t>
            </w:r>
            <w:r>
              <w:rPr>
                <w:rFonts w:hint="eastAsia" w:ascii="宋体" w:hAnsi="宋体" w:eastAsia="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20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840A">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11F1">
            <w:pPr>
              <w:rPr>
                <w:rFonts w:hint="eastAsia" w:ascii="宋体" w:hAnsi="宋体" w:eastAsia="宋体" w:cs="宋体"/>
                <w:i w:val="0"/>
                <w:iCs w:val="0"/>
                <w:color w:val="auto"/>
                <w:sz w:val="22"/>
                <w:szCs w:val="22"/>
                <w:u w:val="none"/>
              </w:rPr>
            </w:pPr>
          </w:p>
        </w:tc>
      </w:tr>
      <w:tr w14:paraId="49BF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26D1">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C0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贷款投向</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E7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b w:val="0"/>
                <w:bCs w:val="0"/>
                <w:sz w:val="18"/>
                <w:szCs w:val="18"/>
                <w:lang w:val="en-US" w:eastAsia="zh-CN"/>
              </w:rPr>
              <w:t>评价期内</w:t>
            </w:r>
            <w:r>
              <w:rPr>
                <w:rFonts w:hint="eastAsia" w:ascii="宋体" w:hAnsi="宋体" w:eastAsia="宋体" w:cs="宋体"/>
                <w:i w:val="0"/>
                <w:iCs w:val="0"/>
                <w:color w:val="auto"/>
                <w:kern w:val="0"/>
                <w:sz w:val="18"/>
                <w:szCs w:val="18"/>
                <w:u w:val="none"/>
                <w:lang w:val="en-US" w:eastAsia="zh-CN" w:bidi="ar"/>
              </w:rPr>
              <w:t>年末贷款余额内小微企业、个体工商户、农户和个人消费者贷款余额</w:t>
            </w:r>
            <w:r>
              <w:rPr>
                <w:rFonts w:hint="eastAsia" w:ascii="宋体" w:hAnsi="宋体" w:eastAsia="宋体" w:cs="宋体"/>
                <w:i w:val="0"/>
                <w:iCs w:val="0"/>
                <w:color w:val="auto"/>
                <w:kern w:val="0"/>
                <w:sz w:val="18"/>
                <w:szCs w:val="18"/>
                <w:u w:val="none"/>
                <w:lang w:val="en-US" w:eastAsia="zh-CN" w:bidi="ar"/>
              </w:rPr>
              <w:t>近2年平均数</w:t>
            </w:r>
            <w:r>
              <w:rPr>
                <w:rFonts w:hint="eastAsia" w:ascii="宋体" w:hAnsi="宋体" w:eastAsia="宋体" w:cs="宋体"/>
                <w:i w:val="0"/>
                <w:iCs w:val="0"/>
                <w:color w:val="auto"/>
                <w:kern w:val="0"/>
                <w:sz w:val="18"/>
                <w:szCs w:val="18"/>
                <w:u w:val="none"/>
                <w:lang w:val="en-US" w:eastAsia="zh-CN" w:bidi="ar"/>
              </w:rPr>
              <w:t>合计占年末贷款余额</w:t>
            </w:r>
            <w:r>
              <w:rPr>
                <w:rFonts w:hint="eastAsia" w:ascii="宋体" w:hAnsi="宋体" w:eastAsia="宋体" w:cs="宋体"/>
                <w:i w:val="0"/>
                <w:iCs w:val="0"/>
                <w:color w:val="auto"/>
                <w:kern w:val="0"/>
                <w:sz w:val="18"/>
                <w:szCs w:val="18"/>
                <w:u w:val="none"/>
                <w:lang w:val="en-US" w:eastAsia="zh-CN" w:bidi="ar"/>
              </w:rPr>
              <w:t>近2年平均数</w:t>
            </w:r>
            <w:r>
              <w:rPr>
                <w:rFonts w:hint="eastAsia" w:ascii="宋体" w:hAnsi="宋体" w:eastAsia="宋体" w:cs="宋体"/>
                <w:i w:val="0"/>
                <w:iCs w:val="0"/>
                <w:color w:val="auto"/>
                <w:kern w:val="0"/>
                <w:sz w:val="18"/>
                <w:szCs w:val="18"/>
                <w:u w:val="none"/>
                <w:lang w:val="en-US" w:eastAsia="zh-CN" w:bidi="ar"/>
              </w:rPr>
              <w:t>的比例达到70%（含）的，得</w:t>
            </w:r>
            <w:r>
              <w:rPr>
                <w:rFonts w:hint="eastAsia" w:ascii="宋体" w:hAnsi="宋体" w:eastAsia="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分；达到70%-75%（不含）的，得</w:t>
            </w:r>
            <w:r>
              <w:rPr>
                <w:rFonts w:hint="eastAsia" w:ascii="宋体" w:hAnsi="宋体" w:eastAsia="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分；达到75%（含）以上的，得</w:t>
            </w:r>
            <w:r>
              <w:rPr>
                <w:rFonts w:hint="eastAsia" w:ascii="宋体" w:hAnsi="宋体" w:eastAsia="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计算公式为：小微企业贷款、个体工商户经营贷款、农户贷款和个人消费贷款余额占比=小微企业贷款、个体工商户经营贷款、农户贷款和个人消费贷款余额/年末贷款余额×100%。非营利法人、特别法人、非法人组织类借款人借款用于生产经营的，根据划型标准纳入小微企业贷款。</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89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75C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ABDA">
            <w:pPr>
              <w:rPr>
                <w:rFonts w:hint="eastAsia" w:ascii="宋体" w:hAnsi="宋体" w:eastAsia="宋体" w:cs="宋体"/>
                <w:i w:val="0"/>
                <w:iCs w:val="0"/>
                <w:color w:val="auto"/>
                <w:sz w:val="20"/>
                <w:szCs w:val="20"/>
                <w:u w:val="none"/>
              </w:rPr>
            </w:pPr>
          </w:p>
        </w:tc>
      </w:tr>
      <w:tr w14:paraId="20CA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D212">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5F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不良贷款</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C2BD">
            <w:pPr>
              <w:keepNext w:val="0"/>
              <w:keepLines w:val="0"/>
              <w:widowControl/>
              <w:suppressLineNumbers w:val="0"/>
              <w:jc w:val="left"/>
              <w:textAlignment w:val="center"/>
              <w:rPr>
                <w:rStyle w:val="11"/>
                <w:rFonts w:ascii="宋体" w:hAnsi="宋体" w:eastAsia="宋体" w:cs="宋体"/>
                <w:color w:val="auto"/>
                <w:lang w:val="en-US" w:eastAsia="zh-CN" w:bidi="ar"/>
              </w:rPr>
            </w:pPr>
            <w:r>
              <w:rPr>
                <w:rStyle w:val="11"/>
                <w:rFonts w:hint="eastAsia" w:ascii="宋体" w:hAnsi="宋体" w:eastAsia="宋体" w:cs="宋体"/>
                <w:color w:val="auto"/>
                <w:lang w:val="en-US" w:eastAsia="zh-CN" w:bidi="ar"/>
              </w:rPr>
              <w:t>评价期内</w:t>
            </w:r>
            <w:r>
              <w:rPr>
                <w:rStyle w:val="11"/>
                <w:rFonts w:ascii="宋体" w:hAnsi="宋体" w:eastAsia="宋体" w:cs="宋体"/>
                <w:color w:val="auto"/>
                <w:lang w:val="en-US" w:eastAsia="zh-CN" w:bidi="ar"/>
              </w:rPr>
              <w:t>不良贷款率</w:t>
            </w:r>
            <w:r>
              <w:rPr>
                <w:rStyle w:val="11"/>
                <w:rFonts w:hint="eastAsia" w:ascii="宋体" w:hAnsi="宋体" w:eastAsia="宋体" w:cs="宋体"/>
                <w:color w:val="auto"/>
                <w:lang w:val="en-US" w:eastAsia="zh-CN" w:bidi="ar"/>
              </w:rPr>
              <w:t>近2年平均数</w:t>
            </w:r>
            <w:r>
              <w:rPr>
                <w:rStyle w:val="11"/>
                <w:rFonts w:ascii="宋体" w:hAnsi="宋体" w:eastAsia="宋体" w:cs="宋体"/>
                <w:color w:val="auto"/>
                <w:lang w:val="en-US" w:eastAsia="zh-CN" w:bidi="ar"/>
              </w:rPr>
              <w:t>等于或低于</w:t>
            </w:r>
            <w:r>
              <w:rPr>
                <w:rStyle w:val="11"/>
                <w:rFonts w:hint="eastAsia" w:ascii="宋体" w:hAnsi="宋体" w:eastAsia="宋体" w:cs="宋体"/>
                <w:color w:val="auto"/>
                <w:lang w:val="en-US" w:eastAsia="zh-CN" w:bidi="ar"/>
              </w:rPr>
              <w:t>上一评价期</w:t>
            </w:r>
            <w:r>
              <w:rPr>
                <w:rStyle w:val="11"/>
                <w:rFonts w:ascii="宋体" w:hAnsi="宋体" w:eastAsia="宋体" w:cs="宋体"/>
                <w:color w:val="auto"/>
                <w:lang w:val="en-US" w:eastAsia="zh-CN" w:bidi="ar"/>
              </w:rPr>
              <w:t>不良贷款率的，得1分；未达到上述标准的，得0分。</w:t>
            </w:r>
          </w:p>
          <w:p w14:paraId="735F67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1"/>
                <w:rFonts w:hint="eastAsia" w:ascii="宋体" w:hAnsi="宋体" w:eastAsia="宋体" w:cs="宋体"/>
                <w:color w:val="auto"/>
                <w:lang w:val="en-US" w:eastAsia="zh-CN" w:bidi="ar"/>
              </w:rPr>
              <w:t>评价期内</w:t>
            </w:r>
            <w:r>
              <w:rPr>
                <w:rStyle w:val="11"/>
                <w:rFonts w:ascii="宋体" w:hAnsi="宋体" w:eastAsia="宋体" w:cs="宋体"/>
                <w:color w:val="auto"/>
                <w:lang w:val="en-US" w:eastAsia="zh-CN" w:bidi="ar"/>
              </w:rPr>
              <w:t>末不良贷款率低于全省行业</w:t>
            </w:r>
            <w:r>
              <w:rPr>
                <w:rStyle w:val="9"/>
                <w:rFonts w:ascii="宋体" w:hAnsi="宋体" w:eastAsia="宋体" w:cs="宋体"/>
                <w:color w:val="auto"/>
                <w:lang w:val="en-US" w:eastAsia="zh-CN" w:bidi="ar"/>
              </w:rPr>
              <w:t>近2年</w:t>
            </w:r>
            <w:r>
              <w:rPr>
                <w:rStyle w:val="11"/>
                <w:rFonts w:ascii="宋体" w:hAnsi="宋体" w:eastAsia="宋体" w:cs="宋体"/>
                <w:color w:val="auto"/>
                <w:lang w:val="en-US" w:eastAsia="zh-CN" w:bidi="ar"/>
              </w:rPr>
              <w:t>平均</w:t>
            </w:r>
            <w:r>
              <w:rPr>
                <w:rStyle w:val="11"/>
                <w:rFonts w:hint="eastAsia" w:ascii="宋体" w:hAnsi="宋体" w:eastAsia="宋体" w:cs="宋体"/>
                <w:color w:val="auto"/>
                <w:lang w:val="en-US" w:eastAsia="zh-CN" w:bidi="ar"/>
              </w:rPr>
              <w:t>数</w:t>
            </w:r>
            <w:r>
              <w:rPr>
                <w:rStyle w:val="11"/>
                <w:rFonts w:ascii="宋体" w:hAnsi="宋体" w:eastAsia="宋体" w:cs="宋体"/>
                <w:color w:val="auto"/>
                <w:lang w:val="en-US" w:eastAsia="zh-CN" w:bidi="ar"/>
              </w:rPr>
              <w:t>的，得1分，高于全省行业近2年平均</w:t>
            </w:r>
            <w:r>
              <w:rPr>
                <w:rStyle w:val="11"/>
                <w:rFonts w:hint="eastAsia" w:ascii="宋体" w:hAnsi="宋体" w:eastAsia="宋体" w:cs="宋体"/>
                <w:color w:val="auto"/>
                <w:lang w:val="en-US" w:eastAsia="zh-CN" w:bidi="ar"/>
              </w:rPr>
              <w:t>数</w:t>
            </w:r>
            <w:r>
              <w:rPr>
                <w:rStyle w:val="11"/>
                <w:rFonts w:ascii="宋体" w:hAnsi="宋体" w:eastAsia="宋体" w:cs="宋体"/>
                <w:color w:val="auto"/>
                <w:lang w:val="en-US" w:eastAsia="zh-CN" w:bidi="ar"/>
              </w:rPr>
              <w:t>的，不得分。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F0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7201">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BB85">
            <w:pPr>
              <w:rPr>
                <w:rFonts w:hint="eastAsia" w:ascii="宋体" w:hAnsi="宋体" w:eastAsia="宋体" w:cs="宋体"/>
                <w:i w:val="0"/>
                <w:iCs w:val="0"/>
                <w:color w:val="auto"/>
                <w:sz w:val="20"/>
                <w:szCs w:val="20"/>
                <w:u w:val="none"/>
              </w:rPr>
            </w:pPr>
          </w:p>
        </w:tc>
      </w:tr>
      <w:tr w14:paraId="3D9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4AD6">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14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贷款合同</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EC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与金融消费者签订借款合同时，使用由省级行业自律组织制定发布的标准化格式合同，得1.5分，满分1.5分。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78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236">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4158">
            <w:pPr>
              <w:rPr>
                <w:rFonts w:hint="eastAsia" w:ascii="宋体" w:hAnsi="宋体" w:eastAsia="宋体" w:cs="宋体"/>
                <w:i w:val="0"/>
                <w:iCs w:val="0"/>
                <w:color w:val="auto"/>
                <w:sz w:val="20"/>
                <w:szCs w:val="20"/>
                <w:u w:val="none"/>
              </w:rPr>
            </w:pPr>
          </w:p>
        </w:tc>
      </w:tr>
      <w:tr w14:paraId="790D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47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8D4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贷款利率</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B7B2">
            <w:pPr>
              <w:keepNext w:val="0"/>
              <w:keepLines w:val="0"/>
              <w:widowControl/>
              <w:numPr>
                <w:ilvl w:val="-1"/>
                <w:numId w:val="0"/>
              </w:numPr>
              <w:suppressLineNumbers w:val="0"/>
              <w:jc w:val="left"/>
              <w:textAlignment w:val="center"/>
              <w:rPr>
                <w:rStyle w:val="11"/>
                <w:rFonts w:ascii="宋体" w:hAnsi="宋体" w:eastAsia="宋体" w:cs="宋体"/>
                <w:color w:val="auto"/>
                <w:lang w:val="en-US" w:eastAsia="zh-CN" w:bidi="ar"/>
              </w:rPr>
            </w:pPr>
            <w:r>
              <w:rPr>
                <w:rStyle w:val="11"/>
                <w:rFonts w:hint="eastAsia" w:ascii="宋体" w:hAnsi="宋体" w:eastAsia="宋体" w:cs="宋体"/>
                <w:color w:val="auto"/>
                <w:lang w:val="en-US" w:eastAsia="zh-CN" w:bidi="ar"/>
              </w:rPr>
              <w:t>1.</w:t>
            </w:r>
            <w:r>
              <w:rPr>
                <w:rStyle w:val="11"/>
                <w:rFonts w:ascii="宋体" w:hAnsi="宋体" w:eastAsia="宋体" w:cs="宋体"/>
                <w:color w:val="auto"/>
                <w:lang w:val="en-US" w:eastAsia="zh-CN" w:bidi="ar"/>
              </w:rPr>
              <w:t>对借款人收取的所有利息、费用与贷款本金的比例计算为贷款年化利率，在借款合同中载明</w:t>
            </w:r>
            <w:r>
              <w:rPr>
                <w:rStyle w:val="9"/>
                <w:rFonts w:ascii="宋体" w:hAnsi="宋体" w:eastAsia="宋体" w:cs="宋体"/>
                <w:color w:val="auto"/>
                <w:lang w:val="en-US" w:eastAsia="zh-CN" w:bidi="ar"/>
              </w:rPr>
              <w:t>并明示</w:t>
            </w:r>
            <w:r>
              <w:rPr>
                <w:rStyle w:val="11"/>
                <w:rFonts w:ascii="宋体" w:hAnsi="宋体" w:eastAsia="宋体" w:cs="宋体"/>
                <w:color w:val="auto"/>
                <w:lang w:val="en-US" w:eastAsia="zh-CN" w:bidi="ar"/>
              </w:rPr>
              <w:t>；针对小额贷款公司合作机构收取的信息服务、担保增信等费用，以书面形式向借款人如实、完整告知</w:t>
            </w:r>
            <w:r>
              <w:rPr>
                <w:rStyle w:val="9"/>
                <w:rFonts w:ascii="宋体" w:hAnsi="宋体" w:eastAsia="宋体" w:cs="宋体"/>
                <w:color w:val="auto"/>
                <w:lang w:val="en-US" w:eastAsia="zh-CN" w:bidi="ar"/>
              </w:rPr>
              <w:t>及明示</w:t>
            </w:r>
            <w:r>
              <w:rPr>
                <w:rStyle w:val="11"/>
                <w:rFonts w:ascii="宋体" w:hAnsi="宋体" w:eastAsia="宋体" w:cs="宋体"/>
                <w:color w:val="auto"/>
                <w:lang w:val="en-US" w:eastAsia="zh-CN" w:bidi="ar"/>
              </w:rPr>
              <w:t>，且相应</w:t>
            </w:r>
            <w:r>
              <w:rPr>
                <w:rStyle w:val="9"/>
                <w:rFonts w:ascii="宋体" w:hAnsi="宋体" w:eastAsia="宋体" w:cs="宋体"/>
                <w:color w:val="auto"/>
                <w:lang w:val="en-US" w:eastAsia="zh-CN" w:bidi="ar"/>
              </w:rPr>
              <w:t>综合融资成本</w:t>
            </w:r>
            <w:r>
              <w:rPr>
                <w:rStyle w:val="11"/>
                <w:rFonts w:ascii="宋体" w:hAnsi="宋体" w:eastAsia="宋体" w:cs="宋体"/>
                <w:color w:val="auto"/>
                <w:lang w:val="en-US" w:eastAsia="zh-CN" w:bidi="ar"/>
              </w:rPr>
              <w:t>，不得违反国家有关规定；</w:t>
            </w:r>
            <w:r>
              <w:rPr>
                <w:rStyle w:val="11"/>
                <w:rFonts w:ascii="宋体" w:hAnsi="宋体" w:eastAsia="宋体" w:cs="宋体"/>
                <w:color w:val="auto"/>
                <w:lang w:val="en-US" w:eastAsia="zh-CN" w:bidi="ar"/>
              </w:rPr>
              <w:br w:type="textWrapping"/>
            </w:r>
            <w:r>
              <w:rPr>
                <w:rStyle w:val="11"/>
                <w:rFonts w:ascii="宋体" w:hAnsi="宋体" w:eastAsia="宋体" w:cs="宋体"/>
                <w:color w:val="auto"/>
                <w:lang w:val="en-US" w:eastAsia="zh-CN" w:bidi="ar"/>
              </w:rPr>
              <w:t>2.开展的单笔贷款业务、综合融资成本未超过《最高人民法院关于进一步加强金融审判工作的若</w:t>
            </w:r>
            <w:r>
              <w:rPr>
                <w:rStyle w:val="8"/>
                <w:rFonts w:ascii="宋体" w:hAnsi="宋体" w:eastAsia="宋体" w:cs="宋体"/>
                <w:color w:val="auto"/>
                <w:lang w:val="en-US" w:eastAsia="zh-CN" w:bidi="ar"/>
              </w:rPr>
              <w:t>干</w:t>
            </w:r>
            <w:r>
              <w:rPr>
                <w:rStyle w:val="11"/>
                <w:rFonts w:ascii="宋体" w:hAnsi="宋体" w:eastAsia="宋体" w:cs="宋体"/>
                <w:color w:val="auto"/>
                <w:lang w:val="en-US" w:eastAsia="zh-CN" w:bidi="ar"/>
              </w:rPr>
              <w:t>意见》对金融借款合同约定利率的司法保护上限</w:t>
            </w:r>
            <w:r>
              <w:rPr>
                <w:rStyle w:val="9"/>
                <w:rFonts w:ascii="宋体" w:hAnsi="宋体" w:eastAsia="宋体" w:cs="宋体"/>
                <w:color w:val="auto"/>
                <w:lang w:val="en-US" w:eastAsia="zh-CN" w:bidi="ar"/>
              </w:rPr>
              <w:t>（24%）</w:t>
            </w:r>
            <w:r>
              <w:rPr>
                <w:rStyle w:val="11"/>
                <w:rFonts w:ascii="宋体" w:hAnsi="宋体" w:eastAsia="宋体" w:cs="宋体"/>
                <w:color w:val="auto"/>
                <w:lang w:val="en-US" w:eastAsia="zh-CN" w:bidi="ar"/>
              </w:rPr>
              <w:t>；</w:t>
            </w:r>
            <w:r>
              <w:rPr>
                <w:rStyle w:val="9"/>
                <w:rFonts w:ascii="宋体" w:hAnsi="宋体" w:eastAsia="宋体" w:cs="宋体"/>
                <w:color w:val="auto"/>
                <w:lang w:val="en-US" w:eastAsia="zh-CN" w:bidi="ar"/>
              </w:rPr>
              <w:t>综合融资成本包括但不限于贷款利息、分期费用、担保费、保险费等与贷款相关且由借款人承担的各项息费。</w:t>
            </w:r>
          </w:p>
          <w:p w14:paraId="63041A64">
            <w:pPr>
              <w:keepNext w:val="0"/>
              <w:keepLines w:val="0"/>
              <w:widowControl/>
              <w:numPr>
                <w:ilvl w:val="-1"/>
                <w:numId w:val="0"/>
              </w:numPr>
              <w:suppressLineNumbers w:val="0"/>
              <w:jc w:val="left"/>
              <w:textAlignment w:val="center"/>
              <w:rPr>
                <w:rStyle w:val="8"/>
                <w:rFonts w:ascii="宋体" w:hAnsi="宋体" w:eastAsia="宋体" w:cs="宋体"/>
                <w:color w:val="auto"/>
                <w:lang w:val="en-US" w:eastAsia="zh-CN" w:bidi="ar"/>
              </w:rPr>
            </w:pPr>
            <w:r>
              <w:rPr>
                <w:rFonts w:hint="eastAsia" w:ascii="宋体" w:hAnsi="宋体" w:eastAsia="宋体" w:cs="宋体"/>
                <w:i w:val="0"/>
                <w:iCs w:val="0"/>
                <w:color w:val="auto"/>
                <w:kern w:val="0"/>
                <w:sz w:val="18"/>
                <w:szCs w:val="18"/>
                <w:u w:val="none"/>
                <w:lang w:val="en-US" w:eastAsia="zh-CN" w:bidi="ar"/>
              </w:rPr>
              <w:t>3.评价期内年末加权贷款平均利率近2年平均数达到全省行业</w:t>
            </w:r>
            <w:r>
              <w:rPr>
                <w:rStyle w:val="9"/>
                <w:rFonts w:ascii="宋体" w:hAnsi="宋体" w:eastAsia="宋体" w:cs="宋体"/>
                <w:color w:val="auto"/>
                <w:lang w:val="en-US" w:eastAsia="zh-CN" w:bidi="ar"/>
              </w:rPr>
              <w:t>近2年</w:t>
            </w:r>
            <w:r>
              <w:rPr>
                <w:rStyle w:val="8"/>
                <w:rFonts w:ascii="宋体" w:hAnsi="宋体" w:eastAsia="宋体" w:cs="宋体"/>
                <w:color w:val="auto"/>
                <w:lang w:val="en-US" w:eastAsia="zh-CN" w:bidi="ar"/>
              </w:rPr>
              <w:t>平均数80%以下（不含）的，得2分，评价期内年末加权贷款平均利率</w:t>
            </w:r>
            <w:r>
              <w:rPr>
                <w:rFonts w:hint="eastAsia" w:ascii="宋体" w:hAnsi="宋体" w:eastAsia="宋体" w:cs="宋体"/>
                <w:i w:val="0"/>
                <w:iCs w:val="0"/>
                <w:color w:val="auto"/>
                <w:kern w:val="0"/>
                <w:sz w:val="18"/>
                <w:szCs w:val="18"/>
                <w:u w:val="none"/>
                <w:lang w:val="en-US" w:eastAsia="zh-CN" w:bidi="ar"/>
              </w:rPr>
              <w:t>近2年平均数</w:t>
            </w:r>
            <w:r>
              <w:rPr>
                <w:rStyle w:val="8"/>
                <w:rFonts w:ascii="宋体" w:hAnsi="宋体" w:eastAsia="宋体" w:cs="宋体"/>
                <w:color w:val="auto"/>
                <w:lang w:val="en-US" w:eastAsia="zh-CN" w:bidi="ar"/>
              </w:rPr>
              <w:t>达到全省行业近2年平均数80%（含）</w:t>
            </w:r>
            <w:r>
              <w:rPr>
                <w:rStyle w:val="10"/>
                <w:rFonts w:hint="eastAsia" w:ascii="宋体" w:hAnsi="宋体" w:eastAsia="宋体" w:cs="宋体"/>
                <w:color w:val="auto"/>
                <w:lang w:val="en-US" w:eastAsia="zh-CN" w:bidi="ar"/>
              </w:rPr>
              <w:t>—</w:t>
            </w:r>
            <w:r>
              <w:rPr>
                <w:rStyle w:val="8"/>
                <w:rFonts w:ascii="宋体" w:hAnsi="宋体" w:eastAsia="宋体" w:cs="宋体"/>
                <w:color w:val="auto"/>
                <w:lang w:val="en-US" w:eastAsia="zh-CN" w:bidi="ar"/>
              </w:rPr>
              <w:t>100%（含）的，得1.5分。</w:t>
            </w:r>
          </w:p>
          <w:p w14:paraId="5D2442A6">
            <w:pPr>
              <w:keepNext w:val="0"/>
              <w:keepLines w:val="0"/>
              <w:widowControl/>
              <w:numPr>
                <w:ilvl w:val="-1"/>
                <w:numId w:val="0"/>
              </w:numPr>
              <w:suppressLineNumbers w:val="0"/>
              <w:jc w:val="left"/>
              <w:textAlignment w:val="center"/>
              <w:rPr>
                <w:rStyle w:val="11"/>
                <w:rFonts w:hint="eastAsia" w:ascii="宋体" w:hAnsi="宋体" w:eastAsia="宋体" w:cs="宋体"/>
                <w:color w:val="auto"/>
                <w:lang w:val="en-US" w:eastAsia="zh-CN" w:bidi="ar"/>
              </w:rPr>
            </w:pPr>
            <w:r>
              <w:rPr>
                <w:rStyle w:val="11"/>
                <w:rFonts w:ascii="宋体" w:hAnsi="宋体" w:eastAsia="宋体" w:cs="宋体"/>
                <w:color w:val="auto"/>
                <w:lang w:val="en-US" w:eastAsia="zh-CN" w:bidi="ar"/>
              </w:rPr>
              <w:t>上述每项2分，对应缺项不得分，满分</w:t>
            </w:r>
            <w:r>
              <w:rPr>
                <w:rStyle w:val="11"/>
                <w:rFonts w:hint="eastAsia" w:ascii="宋体" w:hAnsi="宋体" w:eastAsia="宋体" w:cs="宋体"/>
                <w:color w:val="auto"/>
                <w:lang w:val="en-US" w:eastAsia="zh-CN" w:bidi="ar"/>
              </w:rPr>
              <w:t>6</w:t>
            </w:r>
            <w:r>
              <w:rPr>
                <w:rStyle w:val="11"/>
                <w:rFonts w:ascii="宋体" w:hAnsi="宋体" w:eastAsia="宋体" w:cs="宋体"/>
                <w:color w:val="auto"/>
                <w:lang w:val="en-US" w:eastAsia="zh-CN" w:bidi="ar"/>
              </w:rPr>
              <w:t>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838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4F5D">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48D4">
            <w:pPr>
              <w:rPr>
                <w:rFonts w:hint="eastAsia" w:ascii="宋体" w:hAnsi="宋体" w:eastAsia="宋体" w:cs="宋体"/>
                <w:i w:val="0"/>
                <w:iCs w:val="0"/>
                <w:color w:val="auto"/>
                <w:sz w:val="20"/>
                <w:szCs w:val="20"/>
                <w:u w:val="none"/>
              </w:rPr>
            </w:pPr>
          </w:p>
        </w:tc>
      </w:tr>
      <w:tr w14:paraId="618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2BE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62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信息披露与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风险告知</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855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严格执行信息披露制度。</w:t>
            </w:r>
          </w:p>
          <w:p w14:paraId="5CB9E39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小额贷款公司全面公示公司基本信息、相关产品的详细描述等，并以简明易懂的语言充分揭示风险的，得1分；</w:t>
            </w:r>
          </w:p>
          <w:p w14:paraId="084931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小额贷款公司遵循公开透明原则，充分履行告知义务，将强制阅读合同作为合同签署的前置环节，并在合同中以醒目形式载明涉及消费者利益内容的，得1分。对应缺项不得分，满分2分。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B1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4B72">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433C">
            <w:pPr>
              <w:rPr>
                <w:rFonts w:hint="eastAsia" w:ascii="宋体" w:hAnsi="宋体" w:eastAsia="宋体" w:cs="宋体"/>
                <w:i w:val="0"/>
                <w:iCs w:val="0"/>
                <w:color w:val="auto"/>
                <w:sz w:val="20"/>
                <w:szCs w:val="20"/>
                <w:u w:val="none"/>
              </w:rPr>
            </w:pPr>
          </w:p>
        </w:tc>
      </w:tr>
      <w:tr w14:paraId="20A0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F25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0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催收管理</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42BE">
            <w:pPr>
              <w:keepNext w:val="0"/>
              <w:keepLines w:val="0"/>
              <w:widowControl/>
              <w:suppressLineNumbers w:val="0"/>
              <w:jc w:val="left"/>
              <w:textAlignment w:val="center"/>
              <w:rPr>
                <w:rStyle w:val="11"/>
                <w:rFonts w:ascii="宋体" w:hAnsi="宋体" w:eastAsia="宋体" w:cs="宋体"/>
                <w:color w:val="auto"/>
                <w:lang w:val="en-US" w:eastAsia="zh-CN" w:bidi="ar"/>
              </w:rPr>
            </w:pPr>
            <w:r>
              <w:rPr>
                <w:rStyle w:val="11"/>
                <w:rFonts w:ascii="宋体" w:hAnsi="宋体" w:eastAsia="宋体" w:cs="宋体"/>
                <w:color w:val="auto"/>
                <w:lang w:val="en-US" w:eastAsia="zh-CN" w:bidi="ar"/>
              </w:rPr>
              <w:t>严格执行催收管理制度。</w:t>
            </w:r>
          </w:p>
          <w:p w14:paraId="091B0E59">
            <w:pPr>
              <w:keepNext w:val="0"/>
              <w:keepLines w:val="0"/>
              <w:widowControl/>
              <w:suppressLineNumbers w:val="0"/>
              <w:jc w:val="left"/>
              <w:textAlignment w:val="center"/>
              <w:rPr>
                <w:rStyle w:val="11"/>
                <w:rFonts w:ascii="宋体" w:hAnsi="宋体" w:eastAsia="宋体" w:cs="宋体"/>
                <w:color w:val="auto"/>
                <w:lang w:val="en-US" w:eastAsia="zh-CN" w:bidi="ar"/>
              </w:rPr>
            </w:pPr>
            <w:r>
              <w:rPr>
                <w:rStyle w:val="11"/>
                <w:rFonts w:hint="eastAsia" w:ascii="宋体" w:hAnsi="宋体" w:eastAsia="宋体" w:cs="宋体"/>
                <w:color w:val="auto"/>
                <w:lang w:val="en-US" w:eastAsia="zh-CN" w:bidi="ar"/>
              </w:rPr>
              <w:t>1.</w:t>
            </w:r>
            <w:r>
              <w:rPr>
                <w:rStyle w:val="11"/>
                <w:rFonts w:ascii="宋体" w:hAnsi="宋体" w:eastAsia="宋体" w:cs="宋体"/>
                <w:color w:val="auto"/>
                <w:lang w:val="en-US" w:eastAsia="zh-CN" w:bidi="ar"/>
              </w:rPr>
              <w:t>明确小额贷款公司催收和委托合作机构催收管理，规范催收行为；</w:t>
            </w:r>
          </w:p>
          <w:p w14:paraId="5C1086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9"/>
                <w:rFonts w:ascii="宋体" w:hAnsi="宋体" w:eastAsia="宋体" w:cs="宋体"/>
                <w:color w:val="auto"/>
                <w:lang w:val="en-US" w:eastAsia="zh-CN" w:bidi="ar"/>
              </w:rPr>
              <w:t>2.对年度内的催收业务形成催收记录档案。</w:t>
            </w:r>
            <w:r>
              <w:rPr>
                <w:rStyle w:val="11"/>
                <w:rFonts w:ascii="宋体" w:hAnsi="宋体" w:eastAsia="宋体" w:cs="宋体"/>
                <w:color w:val="auto"/>
                <w:lang w:val="en-US" w:eastAsia="zh-CN" w:bidi="ar"/>
              </w:rPr>
              <w:t>上述每项1分，对应缺项不得分，满分2分。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3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24EE">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C368">
            <w:pPr>
              <w:rPr>
                <w:rFonts w:hint="eastAsia" w:ascii="宋体" w:hAnsi="宋体" w:eastAsia="宋体" w:cs="宋体"/>
                <w:i w:val="0"/>
                <w:iCs w:val="0"/>
                <w:color w:val="auto"/>
                <w:sz w:val="20"/>
                <w:szCs w:val="20"/>
                <w:u w:val="none"/>
              </w:rPr>
            </w:pPr>
          </w:p>
        </w:tc>
      </w:tr>
      <w:tr w14:paraId="470D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BE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四、社会责任（5分）</w:t>
            </w:r>
          </w:p>
        </w:tc>
      </w:tr>
      <w:tr w14:paraId="3FEA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FD19">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0E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消费者权益保护</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0B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1"/>
                <w:rFonts w:ascii="宋体" w:hAnsi="宋体" w:eastAsia="宋体" w:cs="宋体"/>
                <w:color w:val="auto"/>
                <w:lang w:val="en-US" w:eastAsia="zh-CN" w:bidi="ar"/>
              </w:rPr>
              <w:t>严格执行消费者权益保护制度。</w:t>
            </w:r>
            <w:r>
              <w:rPr>
                <w:rStyle w:val="11"/>
                <w:rFonts w:ascii="宋体" w:hAnsi="宋体" w:eastAsia="宋体" w:cs="宋体"/>
                <w:color w:val="auto"/>
                <w:lang w:val="en-US" w:eastAsia="zh-CN" w:bidi="ar"/>
              </w:rPr>
              <w:br w:type="textWrapping"/>
            </w:r>
            <w:r>
              <w:rPr>
                <w:rStyle w:val="11"/>
                <w:rFonts w:ascii="宋体" w:hAnsi="宋体" w:eastAsia="宋体" w:cs="宋体"/>
                <w:color w:val="auto"/>
                <w:lang w:val="en-US" w:eastAsia="zh-CN" w:bidi="ar"/>
              </w:rPr>
              <w:t>1.制定消费者投诉处理制度，明确投诉</w:t>
            </w:r>
            <w:r>
              <w:rPr>
                <w:rStyle w:val="9"/>
                <w:rFonts w:ascii="宋体" w:hAnsi="宋体" w:eastAsia="宋体" w:cs="宋体"/>
                <w:color w:val="auto"/>
                <w:lang w:val="en-US" w:eastAsia="zh-CN" w:bidi="ar"/>
              </w:rPr>
              <w:t>受理渠道、反馈机制、处理预案及应急方案；</w:t>
            </w:r>
            <w:r>
              <w:rPr>
                <w:rStyle w:val="9"/>
                <w:rFonts w:ascii="宋体" w:hAnsi="宋体" w:eastAsia="宋体" w:cs="宋体"/>
                <w:color w:val="auto"/>
                <w:lang w:val="en-US" w:eastAsia="zh-CN" w:bidi="ar"/>
              </w:rPr>
              <w:br w:type="textWrapping"/>
            </w:r>
            <w:r>
              <w:rPr>
                <w:rStyle w:val="9"/>
                <w:rFonts w:ascii="宋体" w:hAnsi="宋体" w:eastAsia="宋体" w:cs="宋体"/>
                <w:color w:val="auto"/>
                <w:lang w:val="en-US" w:eastAsia="zh-CN" w:bidi="ar"/>
              </w:rPr>
              <w:t>2.针对已发生的消费者投诉案例，形成对应的处理方案、处理流程及回销记录，相应记录反馈应能够充分保护金融消费者权益及公司合规经营权益。</w:t>
            </w:r>
            <w:r>
              <w:rPr>
                <w:rStyle w:val="11"/>
                <w:rFonts w:ascii="宋体" w:hAnsi="宋体" w:eastAsia="宋体" w:cs="宋体"/>
                <w:color w:val="auto"/>
                <w:lang w:val="en-US" w:eastAsia="zh-CN" w:bidi="ar"/>
              </w:rPr>
              <w:t>上述每项1分，对应缺项不得分，满分2分。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72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AB7">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4E2">
            <w:pPr>
              <w:rPr>
                <w:rFonts w:hint="eastAsia" w:ascii="宋体" w:hAnsi="宋体" w:eastAsia="宋体" w:cs="宋体"/>
                <w:i w:val="0"/>
                <w:iCs w:val="0"/>
                <w:color w:val="auto"/>
                <w:sz w:val="20"/>
                <w:szCs w:val="20"/>
                <w:u w:val="none"/>
              </w:rPr>
            </w:pPr>
          </w:p>
        </w:tc>
      </w:tr>
      <w:tr w14:paraId="69A3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9D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2D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税收缴纳</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3B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b w:val="0"/>
                <w:bCs w:val="0"/>
                <w:sz w:val="18"/>
                <w:szCs w:val="18"/>
                <w:lang w:val="en-US" w:eastAsia="zh-CN"/>
              </w:rPr>
              <w:t>评价期内</w:t>
            </w:r>
            <w:r>
              <w:rPr>
                <w:rStyle w:val="9"/>
                <w:rFonts w:ascii="宋体" w:hAnsi="宋体" w:eastAsia="宋体" w:cs="宋体"/>
                <w:color w:val="auto"/>
                <w:lang w:val="en-US" w:eastAsia="zh-CN" w:bidi="ar"/>
              </w:rPr>
              <w:t>有纳税记录的，得1分</w:t>
            </w:r>
            <w:r>
              <w:rPr>
                <w:rStyle w:val="11"/>
                <w:rFonts w:ascii="宋体" w:hAnsi="宋体" w:eastAsia="宋体" w:cs="宋体"/>
                <w:color w:val="auto"/>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7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320D">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50B8">
            <w:pPr>
              <w:rPr>
                <w:rFonts w:hint="eastAsia" w:ascii="宋体" w:hAnsi="宋体" w:eastAsia="宋体" w:cs="宋体"/>
                <w:i w:val="0"/>
                <w:iCs w:val="0"/>
                <w:color w:val="auto"/>
                <w:sz w:val="20"/>
                <w:szCs w:val="20"/>
                <w:u w:val="none"/>
              </w:rPr>
            </w:pPr>
          </w:p>
        </w:tc>
      </w:tr>
      <w:tr w14:paraId="19CE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9F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64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缴纳“五险一金”</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2B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1"/>
                <w:rFonts w:ascii="宋体" w:hAnsi="宋体" w:eastAsia="宋体" w:cs="宋体"/>
                <w:color w:val="auto"/>
                <w:lang w:val="en-US" w:eastAsia="zh-CN" w:bidi="ar"/>
              </w:rPr>
              <w:t>小额贷款公司员工全部签订劳动合同的，得1分，未满足上述条件的，得0分；为全部签订劳动合同的员工足额缴纳“五险一金”的，</w:t>
            </w:r>
            <w:r>
              <w:rPr>
                <w:rStyle w:val="9"/>
                <w:rFonts w:ascii="宋体" w:hAnsi="宋体" w:eastAsia="宋体" w:cs="宋体"/>
                <w:color w:val="auto"/>
                <w:lang w:val="en-US" w:eastAsia="zh-CN" w:bidi="ar"/>
              </w:rPr>
              <w:t>得1分</w:t>
            </w:r>
            <w:r>
              <w:rPr>
                <w:rStyle w:val="11"/>
                <w:rFonts w:ascii="宋体" w:hAnsi="宋体" w:eastAsia="宋体" w:cs="宋体"/>
                <w:color w:val="auto"/>
                <w:lang w:val="en-US" w:eastAsia="zh-CN" w:bidi="ar"/>
              </w:rPr>
              <w:t>，未满足上述条件的，得0分。满分2分。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49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2B4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88AC">
            <w:pPr>
              <w:rPr>
                <w:rFonts w:hint="eastAsia" w:ascii="宋体" w:hAnsi="宋体" w:eastAsia="宋体" w:cs="宋体"/>
                <w:i w:val="0"/>
                <w:iCs w:val="0"/>
                <w:color w:val="auto"/>
                <w:sz w:val="20"/>
                <w:szCs w:val="20"/>
                <w:u w:val="none"/>
              </w:rPr>
            </w:pPr>
          </w:p>
        </w:tc>
      </w:tr>
      <w:tr w14:paraId="31FA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066">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五、配合监管（15分）</w:t>
            </w:r>
          </w:p>
        </w:tc>
      </w:tr>
      <w:tr w14:paraId="6287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C89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1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许可及备案</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51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监管制度规定要求办理行政许可和备案相关事项：1.办理业务范围和经营区域、减少注册资本以及分离、合并事项；2.办理变更组织名称、在许可区域内变更营业地址、增加注册资本、持有5%以上股权的股东、董事、监事、高级管理人员。上述每项2.5分，对应缺项不得分，满分5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07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1A3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256C">
            <w:pPr>
              <w:rPr>
                <w:rFonts w:hint="eastAsia" w:ascii="宋体" w:hAnsi="宋体" w:eastAsia="宋体" w:cs="宋体"/>
                <w:i w:val="0"/>
                <w:iCs w:val="0"/>
                <w:color w:val="auto"/>
                <w:sz w:val="20"/>
                <w:szCs w:val="20"/>
                <w:u w:val="none"/>
              </w:rPr>
            </w:pPr>
          </w:p>
        </w:tc>
      </w:tr>
      <w:tr w14:paraId="7A39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4B36">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EE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对外公示和社会监督情况</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E01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val="0"/>
                <w:bCs w:val="0"/>
                <w:sz w:val="18"/>
                <w:szCs w:val="18"/>
                <w:lang w:val="en-US" w:eastAsia="zh-CN"/>
              </w:rPr>
              <w:t>评价期内</w:t>
            </w:r>
            <w:r>
              <w:rPr>
                <w:rFonts w:hint="eastAsia" w:ascii="宋体" w:hAnsi="宋体" w:eastAsia="宋体" w:cs="宋体"/>
                <w:i w:val="0"/>
                <w:iCs w:val="0"/>
                <w:color w:val="auto"/>
                <w:kern w:val="0"/>
                <w:sz w:val="18"/>
                <w:szCs w:val="18"/>
                <w:u w:val="none"/>
                <w:lang w:val="en-US" w:eastAsia="zh-CN" w:bidi="ar"/>
              </w:rPr>
              <w:t>现场检查及在分类评级资料审核中：</w:t>
            </w:r>
          </w:p>
          <w:p w14:paraId="5AEFD65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1.未违反《小额贷款公司监督管理暂行办法》第三十三条、第三十四条的情况，得1.5分；</w:t>
            </w:r>
          </w:p>
          <w:p w14:paraId="3B63133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2.公示当地监管部门监督举报电话的，得1.5分；</w:t>
            </w:r>
          </w:p>
          <w:p w14:paraId="27590FB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3.小额贷款公司及公司高级管理人员未在人民银行征信系统、国家发展改革委红黑名单等公信平台出现不良信用记录或存在影响小额贷款公司社会信用形象的，得1.5分；</w:t>
            </w:r>
          </w:p>
          <w:p w14:paraId="4316B7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4.由社会监督未涉及消费者权益保护等被举报违规问题的，得1.5分，满分6分。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B2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B325">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9E6D">
            <w:pPr>
              <w:rPr>
                <w:rFonts w:hint="eastAsia" w:ascii="宋体" w:hAnsi="宋体" w:eastAsia="宋体" w:cs="宋体"/>
                <w:i w:val="0"/>
                <w:iCs w:val="0"/>
                <w:color w:val="auto"/>
                <w:sz w:val="20"/>
                <w:szCs w:val="20"/>
                <w:u w:val="none"/>
              </w:rPr>
            </w:pPr>
          </w:p>
        </w:tc>
      </w:tr>
      <w:tr w14:paraId="4926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1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84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参加有关监管部门组织活动</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56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积极参加有关监管部门组织开展的有关业务工作会议、培训及其他工作安排的，得2分，满分2分。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1E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5E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4E34">
            <w:pPr>
              <w:rPr>
                <w:rFonts w:hint="eastAsia" w:ascii="宋体" w:hAnsi="宋体" w:eastAsia="宋体" w:cs="宋体"/>
                <w:i w:val="0"/>
                <w:iCs w:val="0"/>
                <w:color w:val="auto"/>
                <w:sz w:val="20"/>
                <w:szCs w:val="20"/>
                <w:u w:val="none"/>
              </w:rPr>
            </w:pPr>
          </w:p>
        </w:tc>
      </w:tr>
      <w:tr w14:paraId="447F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2" w:type="pct"/>
            <w:tcBorders>
              <w:top w:val="single" w:color="000000" w:sz="4" w:space="0"/>
              <w:left w:val="single" w:color="000000" w:sz="4" w:space="0"/>
              <w:bottom w:val="nil"/>
              <w:right w:val="single" w:color="000000" w:sz="4" w:space="0"/>
            </w:tcBorders>
            <w:shd w:val="clear" w:color="auto" w:fill="auto"/>
            <w:noWrap/>
            <w:vAlign w:val="center"/>
          </w:tcPr>
          <w:p w14:paraId="0C8395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681" w:type="pct"/>
            <w:tcBorders>
              <w:top w:val="single" w:color="000000" w:sz="4" w:space="0"/>
              <w:left w:val="single" w:color="000000" w:sz="4" w:space="0"/>
              <w:bottom w:val="nil"/>
              <w:right w:val="single" w:color="000000" w:sz="4" w:space="0"/>
            </w:tcBorders>
            <w:shd w:val="clear" w:color="auto" w:fill="auto"/>
            <w:vAlign w:val="center"/>
          </w:tcPr>
          <w:p w14:paraId="4CC6EB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配合监管工作</w:t>
            </w:r>
          </w:p>
        </w:tc>
        <w:tc>
          <w:tcPr>
            <w:tcW w:w="2555" w:type="pct"/>
            <w:tcBorders>
              <w:top w:val="single" w:color="000000" w:sz="4" w:space="0"/>
              <w:left w:val="single" w:color="000000" w:sz="4" w:space="0"/>
              <w:bottom w:val="nil"/>
              <w:right w:val="single" w:color="000000" w:sz="4" w:space="0"/>
            </w:tcBorders>
            <w:shd w:val="clear" w:color="auto" w:fill="auto"/>
            <w:vAlign w:val="center"/>
          </w:tcPr>
          <w:p w14:paraId="799101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积极配合各地方金融管理部门对小额贷款公司依法实施的现场检查、非现场监管等监管措施以及其他日常监管工作的，得2分，满分2分。</w:t>
            </w:r>
          </w:p>
        </w:tc>
        <w:tc>
          <w:tcPr>
            <w:tcW w:w="370" w:type="pct"/>
            <w:tcBorders>
              <w:top w:val="single" w:color="000000" w:sz="4" w:space="0"/>
              <w:left w:val="single" w:color="000000" w:sz="4" w:space="0"/>
              <w:bottom w:val="nil"/>
              <w:right w:val="single" w:color="000000" w:sz="4" w:space="0"/>
            </w:tcBorders>
            <w:shd w:val="clear" w:color="auto" w:fill="auto"/>
            <w:vAlign w:val="center"/>
          </w:tcPr>
          <w:p w14:paraId="5FD15A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nil"/>
              <w:right w:val="single" w:color="000000" w:sz="4" w:space="0"/>
            </w:tcBorders>
            <w:shd w:val="clear" w:color="auto" w:fill="auto"/>
            <w:noWrap/>
            <w:vAlign w:val="center"/>
          </w:tcPr>
          <w:p w14:paraId="636E78C9">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nil"/>
              <w:right w:val="single" w:color="000000" w:sz="4" w:space="0"/>
            </w:tcBorders>
            <w:shd w:val="clear" w:color="auto" w:fill="auto"/>
            <w:vAlign w:val="center"/>
          </w:tcPr>
          <w:p w14:paraId="3AC49A25">
            <w:pPr>
              <w:rPr>
                <w:rFonts w:hint="eastAsia" w:ascii="宋体" w:hAnsi="宋体" w:eastAsia="宋体" w:cs="宋体"/>
                <w:i w:val="0"/>
                <w:iCs w:val="0"/>
                <w:color w:val="auto"/>
                <w:sz w:val="20"/>
                <w:szCs w:val="20"/>
                <w:u w:val="none"/>
              </w:rPr>
            </w:pPr>
          </w:p>
        </w:tc>
      </w:tr>
      <w:tr w14:paraId="7FF3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E0BA">
            <w:pPr>
              <w:rPr>
                <w:rFonts w:hint="eastAsia" w:ascii="宋体" w:hAnsi="宋体" w:eastAsia="宋体" w:cs="宋体"/>
                <w:i w:val="0"/>
                <w:iCs w:val="0"/>
                <w:color w:val="auto"/>
                <w:sz w:val="20"/>
                <w:szCs w:val="20"/>
                <w:u w:val="none"/>
              </w:rPr>
            </w:pPr>
            <w:r>
              <w:rPr>
                <w:rFonts w:hint="eastAsia" w:ascii="微软雅黑" w:hAnsi="微软雅黑" w:eastAsia="微软雅黑" w:cs="微软雅黑"/>
                <w:b/>
                <w:bCs/>
                <w:i w:val="0"/>
                <w:iCs w:val="0"/>
                <w:color w:val="auto"/>
                <w:kern w:val="0"/>
                <w:sz w:val="18"/>
                <w:szCs w:val="18"/>
                <w:u w:val="none"/>
                <w:lang w:val="en-US" w:eastAsia="zh-CN" w:bidi="ar"/>
              </w:rPr>
              <w:t>六、行业自律评价（5分）</w:t>
            </w:r>
          </w:p>
        </w:tc>
      </w:tr>
      <w:tr w14:paraId="57F3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67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BA4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参与行业建设</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98D1">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Style w:val="11"/>
                <w:rFonts w:ascii="宋体" w:hAnsi="宋体" w:eastAsia="宋体" w:cs="宋体"/>
                <w:color w:val="auto"/>
                <w:lang w:val="en-US" w:eastAsia="zh-CN" w:bidi="ar"/>
              </w:rPr>
              <w:t>小额贷款公司加入省小额贷款公司协会</w:t>
            </w:r>
            <w:r>
              <w:rPr>
                <w:rStyle w:val="9"/>
                <w:rFonts w:ascii="宋体" w:hAnsi="宋体" w:eastAsia="宋体" w:cs="宋体"/>
                <w:color w:val="auto"/>
                <w:lang w:val="en-US" w:eastAsia="zh-CN" w:bidi="ar"/>
              </w:rPr>
              <w:t>并有效参与行业自律建设工作，促进行业健康持续发展，遵守相关行业自律公约、准则、办法的，得5分</w:t>
            </w:r>
            <w:r>
              <w:rPr>
                <w:rStyle w:val="11"/>
                <w:rFonts w:ascii="宋体" w:hAnsi="宋体" w:eastAsia="宋体" w:cs="宋体"/>
                <w:color w:val="auto"/>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EEE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2D8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2BCD">
            <w:pPr>
              <w:rPr>
                <w:rFonts w:hint="eastAsia" w:ascii="宋体" w:hAnsi="宋体" w:eastAsia="宋体" w:cs="宋体"/>
                <w:i w:val="0"/>
                <w:iCs w:val="0"/>
                <w:color w:val="auto"/>
                <w:sz w:val="20"/>
                <w:szCs w:val="20"/>
                <w:u w:val="none"/>
              </w:rPr>
            </w:pPr>
          </w:p>
        </w:tc>
      </w:tr>
      <w:tr w14:paraId="6C1D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50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七、加分项（20分）</w:t>
            </w:r>
          </w:p>
        </w:tc>
      </w:tr>
      <w:tr w14:paraId="24EC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C3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40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党组织建设</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42AB">
            <w:pPr>
              <w:keepNext w:val="0"/>
              <w:keepLines w:val="0"/>
              <w:widowControl/>
              <w:suppressLineNumbers w:val="0"/>
              <w:jc w:val="left"/>
              <w:textAlignment w:val="center"/>
              <w:rPr>
                <w:rStyle w:val="11"/>
                <w:rFonts w:ascii="宋体" w:hAnsi="宋体" w:eastAsia="宋体" w:cs="宋体"/>
                <w:color w:val="auto"/>
                <w:lang w:val="en-US" w:eastAsia="zh-CN" w:bidi="ar"/>
              </w:rPr>
            </w:pPr>
            <w:r>
              <w:rPr>
                <w:rStyle w:val="11"/>
                <w:rFonts w:ascii="宋体" w:hAnsi="宋体" w:eastAsia="宋体" w:cs="宋体"/>
                <w:color w:val="auto"/>
                <w:lang w:val="en-US" w:eastAsia="zh-CN" w:bidi="ar"/>
              </w:rPr>
              <w:t>1.</w:t>
            </w:r>
            <w:r>
              <w:rPr>
                <w:rStyle w:val="11"/>
                <w:rFonts w:hint="eastAsia" w:ascii="宋体" w:hAnsi="宋体" w:eastAsia="宋体" w:cs="宋体"/>
                <w:color w:val="auto"/>
                <w:lang w:val="en-US" w:eastAsia="zh-CN" w:bidi="ar"/>
              </w:rPr>
              <w:t>符合条件的</w:t>
            </w:r>
            <w:r>
              <w:rPr>
                <w:rStyle w:val="11"/>
                <w:rFonts w:ascii="宋体" w:hAnsi="宋体" w:eastAsia="宋体" w:cs="宋体"/>
                <w:color w:val="auto"/>
                <w:lang w:val="en-US" w:eastAsia="zh-CN" w:bidi="ar"/>
              </w:rPr>
              <w:t>小额贷款公司按照《中国共产党章程》建立党的组织或通过联合建立党组织的，加</w:t>
            </w:r>
            <w:r>
              <w:rPr>
                <w:rStyle w:val="11"/>
                <w:rFonts w:hint="eastAsia" w:ascii="宋体" w:hAnsi="宋体" w:eastAsia="宋体" w:cs="宋体"/>
                <w:color w:val="auto"/>
                <w:lang w:val="en-US" w:eastAsia="zh-CN" w:bidi="ar"/>
              </w:rPr>
              <w:t>1</w:t>
            </w:r>
            <w:r>
              <w:rPr>
                <w:rStyle w:val="11"/>
                <w:rFonts w:ascii="宋体" w:hAnsi="宋体" w:eastAsia="宋体" w:cs="宋体"/>
                <w:color w:val="auto"/>
                <w:lang w:val="en-US" w:eastAsia="zh-CN" w:bidi="ar"/>
              </w:rPr>
              <w:t>分；</w:t>
            </w:r>
          </w:p>
          <w:p w14:paraId="2F1367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1"/>
                <w:rFonts w:ascii="宋体" w:hAnsi="宋体" w:eastAsia="宋体" w:cs="宋体"/>
                <w:color w:val="auto"/>
                <w:lang w:val="en-US" w:eastAsia="zh-CN" w:bidi="ar"/>
              </w:rPr>
              <w:t>2.党组织成员为公司董事会成员或高管层的，加</w:t>
            </w:r>
            <w:r>
              <w:rPr>
                <w:rStyle w:val="11"/>
                <w:rFonts w:hint="eastAsia" w:ascii="宋体" w:hAnsi="宋体" w:eastAsia="宋体" w:cs="宋体"/>
                <w:color w:val="auto"/>
                <w:lang w:val="en-US" w:eastAsia="zh-CN" w:bidi="ar"/>
              </w:rPr>
              <w:t>1</w:t>
            </w:r>
            <w:r>
              <w:rPr>
                <w:rStyle w:val="11"/>
                <w:rFonts w:ascii="宋体" w:hAnsi="宋体" w:eastAsia="宋体" w:cs="宋体"/>
                <w:color w:val="auto"/>
                <w:lang w:val="en-US" w:eastAsia="zh-CN" w:bidi="ar"/>
              </w:rPr>
              <w:t>分；3.积极参加行业党委、协会党支部组织的党建活动，加强思想教育和理论学习，推动党组织的发展和建设的，</w:t>
            </w:r>
            <w:r>
              <w:rPr>
                <w:rStyle w:val="9"/>
                <w:rFonts w:ascii="宋体" w:hAnsi="宋体" w:eastAsia="宋体" w:cs="宋体"/>
                <w:color w:val="auto"/>
                <w:lang w:val="en-US" w:eastAsia="zh-CN" w:bidi="ar"/>
              </w:rPr>
              <w:t>加1分；满分</w:t>
            </w:r>
            <w:r>
              <w:rPr>
                <w:rStyle w:val="9"/>
                <w:rFonts w:hint="eastAsia" w:ascii="宋体" w:hAnsi="宋体" w:eastAsia="宋体" w:cs="宋体"/>
                <w:color w:val="auto"/>
                <w:lang w:val="en-US" w:eastAsia="zh-CN" w:bidi="ar"/>
              </w:rPr>
              <w:t>3</w:t>
            </w:r>
            <w:r>
              <w:rPr>
                <w:rStyle w:val="9"/>
                <w:rFonts w:ascii="宋体" w:hAnsi="宋体" w:eastAsia="宋体" w:cs="宋体"/>
                <w:color w:val="auto"/>
                <w:lang w:val="en-US" w:eastAsia="zh-CN" w:bidi="ar"/>
              </w:rPr>
              <w:t>分</w:t>
            </w:r>
            <w:r>
              <w:rPr>
                <w:rStyle w:val="11"/>
                <w:rFonts w:ascii="宋体" w:hAnsi="宋体" w:eastAsia="宋体" w:cs="宋体"/>
                <w:color w:val="auto"/>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2F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3497">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B707">
            <w:pPr>
              <w:rPr>
                <w:rFonts w:hint="eastAsia" w:ascii="宋体" w:hAnsi="宋体" w:eastAsia="宋体" w:cs="宋体"/>
                <w:i w:val="0"/>
                <w:iCs w:val="0"/>
                <w:color w:val="auto"/>
                <w:sz w:val="20"/>
                <w:szCs w:val="20"/>
                <w:u w:val="none"/>
              </w:rPr>
            </w:pPr>
          </w:p>
        </w:tc>
      </w:tr>
      <w:tr w14:paraId="49E7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88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34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服务实体经济</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A9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聚焦金融“五篇大文章”。投放到科技金融、绿色金融、养老金融、数字金融，以及区域产业政策导向项目的贷款余额</w:t>
            </w:r>
            <w:r>
              <w:rPr>
                <w:rFonts w:hint="eastAsia" w:ascii="宋体" w:hAnsi="宋体" w:eastAsia="宋体" w:cs="宋体"/>
                <w:b w:val="0"/>
                <w:bCs w:val="0"/>
                <w:sz w:val="18"/>
                <w:szCs w:val="18"/>
                <w:lang w:val="en-US" w:eastAsia="zh-CN"/>
              </w:rPr>
              <w:t>近2年平均数</w:t>
            </w:r>
            <w:r>
              <w:rPr>
                <w:rFonts w:hint="eastAsia" w:ascii="宋体" w:hAnsi="宋体" w:eastAsia="宋体" w:cs="宋体"/>
                <w:i w:val="0"/>
                <w:iCs w:val="0"/>
                <w:color w:val="auto"/>
                <w:kern w:val="0"/>
                <w:sz w:val="18"/>
                <w:szCs w:val="18"/>
                <w:u w:val="none"/>
                <w:lang w:val="en-US" w:eastAsia="zh-CN" w:bidi="ar"/>
              </w:rPr>
              <w:t>合计占</w:t>
            </w:r>
            <w:r>
              <w:rPr>
                <w:rFonts w:hint="eastAsia" w:ascii="宋体" w:hAnsi="宋体" w:eastAsia="宋体" w:cs="宋体"/>
                <w:b w:val="0"/>
                <w:bCs w:val="0"/>
                <w:sz w:val="18"/>
                <w:szCs w:val="18"/>
                <w:lang w:val="en-US" w:eastAsia="zh-CN"/>
              </w:rPr>
              <w:t>评价期内</w:t>
            </w:r>
            <w:r>
              <w:rPr>
                <w:rFonts w:hint="eastAsia" w:ascii="宋体" w:hAnsi="宋体" w:eastAsia="宋体" w:cs="宋体"/>
                <w:i w:val="0"/>
                <w:iCs w:val="0"/>
                <w:color w:val="auto"/>
                <w:kern w:val="0"/>
                <w:sz w:val="18"/>
                <w:szCs w:val="18"/>
                <w:u w:val="none"/>
                <w:lang w:val="en-US" w:eastAsia="zh-CN" w:bidi="ar"/>
              </w:rPr>
              <w:t>年末贷款余额</w:t>
            </w:r>
            <w:r>
              <w:rPr>
                <w:rFonts w:hint="eastAsia" w:ascii="宋体" w:hAnsi="宋体" w:eastAsia="宋体" w:cs="宋体"/>
                <w:b w:val="0"/>
                <w:bCs w:val="0"/>
                <w:sz w:val="18"/>
                <w:szCs w:val="18"/>
                <w:lang w:val="en-US" w:eastAsia="zh-CN"/>
              </w:rPr>
              <w:t>近2年平均数</w:t>
            </w:r>
            <w:r>
              <w:rPr>
                <w:rFonts w:hint="eastAsia" w:ascii="宋体" w:hAnsi="宋体" w:eastAsia="宋体" w:cs="宋体"/>
                <w:i w:val="0"/>
                <w:iCs w:val="0"/>
                <w:color w:val="auto"/>
                <w:kern w:val="0"/>
                <w:sz w:val="18"/>
                <w:szCs w:val="18"/>
                <w:u w:val="none"/>
                <w:lang w:val="en-US" w:eastAsia="zh-CN" w:bidi="ar"/>
              </w:rPr>
              <w:t>的比例达到10-20%（含）的，得2分，达到20-30%（含）的，得4分，占比达30%以上的，得6分，满分6分。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B9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2722">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3C14">
            <w:pPr>
              <w:rPr>
                <w:rFonts w:hint="eastAsia" w:ascii="宋体" w:hAnsi="宋体" w:eastAsia="宋体" w:cs="宋体"/>
                <w:i w:val="0"/>
                <w:iCs w:val="0"/>
                <w:color w:val="auto"/>
                <w:sz w:val="20"/>
                <w:szCs w:val="20"/>
                <w:u w:val="none"/>
              </w:rPr>
            </w:pPr>
          </w:p>
        </w:tc>
      </w:tr>
      <w:tr w14:paraId="7B10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3C1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F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税收贡献</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A2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b w:val="0"/>
                <w:bCs w:val="0"/>
                <w:sz w:val="18"/>
                <w:szCs w:val="18"/>
                <w:lang w:val="en-US" w:eastAsia="zh-CN"/>
              </w:rPr>
              <w:t>评价期内</w:t>
            </w:r>
            <w:r>
              <w:rPr>
                <w:rFonts w:hint="eastAsia" w:ascii="宋体" w:hAnsi="宋体" w:eastAsia="宋体" w:cs="宋体"/>
                <w:i w:val="0"/>
                <w:iCs w:val="0"/>
                <w:color w:val="auto"/>
                <w:kern w:val="0"/>
                <w:sz w:val="18"/>
                <w:szCs w:val="18"/>
                <w:u w:val="none"/>
                <w:lang w:val="en-US" w:eastAsia="zh-CN" w:bidi="ar"/>
              </w:rPr>
              <w:t>缴纳税收达到1万元（含）-3万元（不含）的，加1分，达到3万元（含）-5万元（不含）的，加2分，达到5万元（含）-10万元（不含）的，加3分，达到10万元（含）以上的，加</w:t>
            </w:r>
            <w:r>
              <w:rPr>
                <w:rFonts w:hint="eastAsia" w:ascii="宋体" w:hAnsi="宋体" w:eastAsia="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分。满分</w:t>
            </w:r>
            <w:r>
              <w:rPr>
                <w:rFonts w:hint="eastAsia" w:ascii="宋体" w:hAnsi="宋体" w:eastAsia="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B2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E483">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1C8">
            <w:pPr>
              <w:rPr>
                <w:rFonts w:hint="eastAsia" w:ascii="宋体" w:hAnsi="宋体" w:eastAsia="宋体" w:cs="宋体"/>
                <w:i w:val="0"/>
                <w:iCs w:val="0"/>
                <w:color w:val="auto"/>
                <w:sz w:val="20"/>
                <w:szCs w:val="20"/>
                <w:u w:val="none"/>
              </w:rPr>
            </w:pPr>
          </w:p>
        </w:tc>
      </w:tr>
      <w:tr w14:paraId="14D1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B0D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AF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信息化建设</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D29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1.小额贷款公司制定符合公司业务规划的信息科技战略，建立完善信息科技管理制度，建设业务管理、财务管理等信息系统，将各业务环节纳入信息系统管理，将信息科技风险管理纳入风险管理体系；</w:t>
            </w:r>
          </w:p>
          <w:p w14:paraId="7F4EBA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2.按照国家网络安全等级保护制度，对建立的信息系统定期开展等级保护测评；上述要求每满足1项加</w:t>
            </w:r>
            <w:r>
              <w:rPr>
                <w:rFonts w:hint="eastAsia" w:ascii="宋体" w:hAnsi="宋体" w:eastAsia="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分。满分</w:t>
            </w:r>
            <w:r>
              <w:rPr>
                <w:rFonts w:hint="eastAsia" w:ascii="宋体" w:hAnsi="宋体" w:eastAsia="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71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5486">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B74">
            <w:pPr>
              <w:rPr>
                <w:rFonts w:hint="eastAsia" w:ascii="宋体" w:hAnsi="宋体" w:eastAsia="宋体" w:cs="宋体"/>
                <w:i w:val="0"/>
                <w:iCs w:val="0"/>
                <w:color w:val="auto"/>
                <w:sz w:val="20"/>
                <w:szCs w:val="20"/>
                <w:u w:val="none"/>
              </w:rPr>
            </w:pPr>
          </w:p>
        </w:tc>
      </w:tr>
      <w:tr w14:paraId="369A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59E7">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70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公益事业和正面宣传</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09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b w:val="0"/>
                <w:bCs w:val="0"/>
                <w:sz w:val="18"/>
                <w:szCs w:val="18"/>
                <w:lang w:val="en-US" w:eastAsia="zh-CN"/>
              </w:rPr>
              <w:t>评价期内</w:t>
            </w:r>
            <w:r>
              <w:rPr>
                <w:rStyle w:val="11"/>
                <w:rFonts w:ascii="宋体" w:hAnsi="宋体" w:eastAsia="宋体" w:cs="宋体"/>
                <w:color w:val="auto"/>
                <w:lang w:val="en-US" w:eastAsia="zh-CN" w:bidi="ar"/>
              </w:rPr>
              <w:t>小额贷款公司参与社会公益事业和行业正面宣传，经活动组织方确认的，</w:t>
            </w:r>
            <w:r>
              <w:rPr>
                <w:rStyle w:val="9"/>
                <w:rFonts w:ascii="宋体" w:hAnsi="宋体" w:eastAsia="宋体" w:cs="宋体"/>
                <w:color w:val="auto"/>
                <w:lang w:val="en-US" w:eastAsia="zh-CN" w:bidi="ar"/>
              </w:rPr>
              <w:t>加2分</w:t>
            </w:r>
            <w:r>
              <w:rPr>
                <w:rStyle w:val="11"/>
                <w:rFonts w:ascii="宋体" w:hAnsi="宋体" w:eastAsia="宋体" w:cs="宋体"/>
                <w:color w:val="auto"/>
                <w:lang w:val="en-US" w:eastAsia="zh-CN" w:bidi="ar"/>
              </w:rPr>
              <w:t>。</w:t>
            </w:r>
            <w:r>
              <w:rPr>
                <w:rStyle w:val="9"/>
                <w:rFonts w:ascii="宋体" w:hAnsi="宋体" w:eastAsia="宋体" w:cs="宋体"/>
                <w:color w:val="auto"/>
                <w:lang w:val="en-US" w:eastAsia="zh-CN" w:bidi="ar"/>
              </w:rPr>
              <w:t>满分2分。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B0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01FD">
            <w:pPr>
              <w:jc w:val="center"/>
              <w:rPr>
                <w:rFonts w:hint="eastAsia" w:ascii="宋体" w:hAnsi="宋体" w:eastAsia="宋体" w:cs="宋体"/>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3E93">
            <w:pPr>
              <w:rPr>
                <w:rFonts w:hint="eastAsia" w:ascii="宋体" w:hAnsi="宋体" w:eastAsia="宋体" w:cs="宋体"/>
                <w:i w:val="0"/>
                <w:iCs w:val="0"/>
                <w:color w:val="auto"/>
                <w:sz w:val="20"/>
                <w:szCs w:val="20"/>
                <w:u w:val="none"/>
              </w:rPr>
            </w:pPr>
          </w:p>
        </w:tc>
      </w:tr>
      <w:tr w14:paraId="1608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2CE6">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总得分（含加分项）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1F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D4E">
            <w:pPr>
              <w:rPr>
                <w:rFonts w:hint="eastAsia" w:ascii="宋体" w:hAnsi="宋体" w:eastAsia="宋体" w:cs="宋体"/>
                <w:b/>
                <w:bCs/>
                <w:i w:val="0"/>
                <w:iCs w:val="0"/>
                <w:color w:val="auto"/>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BB71">
            <w:pPr>
              <w:jc w:val="center"/>
              <w:rPr>
                <w:rFonts w:hint="eastAsia" w:ascii="宋体" w:hAnsi="宋体" w:eastAsia="宋体" w:cs="宋体"/>
                <w:i w:val="0"/>
                <w:iCs w:val="0"/>
                <w:color w:val="auto"/>
                <w:sz w:val="22"/>
                <w:szCs w:val="22"/>
                <w:u w:val="none"/>
              </w:rPr>
            </w:pPr>
          </w:p>
        </w:tc>
      </w:tr>
    </w:tbl>
    <w:p w14:paraId="271034B3">
      <w:pPr>
        <w:keepNext w:val="0"/>
        <w:keepLines w:val="0"/>
        <w:pageBreakBefore w:val="0"/>
        <w:widowControl/>
        <w:kinsoku/>
        <w:wordWrap/>
        <w:overflowPunct/>
        <w:topLinePunct w:val="0"/>
        <w:bidi w:val="0"/>
        <w:adjustRightInd/>
        <w:snapToGrid/>
        <w:spacing w:line="240" w:lineRule="auto"/>
        <w:ind w:firstLine="0" w:firstLineChars="0"/>
        <w:textAlignment w:val="auto"/>
        <w:rPr>
          <w:rFonts w:hint="eastAsia"/>
          <w:b w:val="0"/>
          <w:bCs w:val="0"/>
          <w:lang w:val="en-US" w:eastAsia="zh-CN"/>
        </w:rPr>
      </w:pPr>
      <w:r>
        <w:rPr>
          <w:rFonts w:hint="eastAsia"/>
          <w:b w:val="0"/>
          <w:bCs w:val="0"/>
          <w:lang w:val="en-US" w:eastAsia="zh-CN"/>
        </w:rPr>
        <w:br w:type="page"/>
      </w:r>
    </w:p>
    <w:p w14:paraId="62CAAA42">
      <w:pPr>
        <w:keepNext w:val="0"/>
        <w:keepLines w:val="0"/>
        <w:pageBreakBefore w:val="0"/>
        <w:widowControl w:val="0"/>
        <w:kinsoku/>
        <w:wordWrap/>
        <w:overflowPunct/>
        <w:topLinePunct w:val="0"/>
        <w:bidi w:val="0"/>
        <w:adjustRightInd/>
        <w:snapToGrid/>
        <w:spacing w:line="560" w:lineRule="exact"/>
        <w:ind w:firstLine="0" w:firstLineChars="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指标说明：</w:t>
      </w:r>
    </w:p>
    <w:p w14:paraId="4A74B375">
      <w:pPr>
        <w:rPr>
          <w:rStyle w:val="11"/>
          <w:rFonts w:ascii="宋体" w:hAnsi="宋体" w:eastAsia="宋体" w:cs="宋体"/>
          <w:sz w:val="24"/>
          <w:szCs w:val="24"/>
          <w:lang w:val="en-US" w:eastAsia="zh-CN" w:bidi="ar"/>
        </w:rPr>
      </w:pPr>
      <w:r>
        <w:rPr>
          <w:rStyle w:val="12"/>
          <w:rFonts w:ascii="宋体" w:hAnsi="宋体" w:eastAsia="宋体" w:cs="宋体"/>
          <w:sz w:val="24"/>
          <w:szCs w:val="24"/>
          <w:lang w:val="en-US" w:eastAsia="zh-CN" w:bidi="ar"/>
        </w:rPr>
        <w:t>1.</w:t>
      </w:r>
      <w:r>
        <w:rPr>
          <w:rStyle w:val="11"/>
          <w:rFonts w:ascii="宋体" w:hAnsi="宋体" w:eastAsia="宋体" w:cs="宋体"/>
          <w:sz w:val="24"/>
          <w:szCs w:val="24"/>
          <w:lang w:val="en-US" w:eastAsia="zh-CN" w:bidi="ar"/>
        </w:rPr>
        <w:t>本办法所指的重大关联交易是指符合《小额贷款公司监督管理暂行办法》第五十八条第（四）款的重大关联交易。</w:t>
      </w:r>
    </w:p>
    <w:p w14:paraId="5066BB05">
      <w:pPr>
        <w:rPr>
          <w:rFonts w:hint="eastAsia" w:ascii="宋体" w:hAnsi="宋体" w:eastAsia="宋体" w:cs="宋体"/>
          <w:b w:val="0"/>
          <w:bCs w:val="0"/>
          <w:sz w:val="24"/>
          <w:szCs w:val="24"/>
        </w:rPr>
      </w:pPr>
      <w:r>
        <w:rPr>
          <w:rStyle w:val="12"/>
          <w:rFonts w:ascii="宋体" w:hAnsi="宋体" w:eastAsia="宋体" w:cs="宋体"/>
          <w:sz w:val="24"/>
          <w:szCs w:val="24"/>
          <w:lang w:val="en-US" w:eastAsia="zh-CN" w:bidi="ar"/>
        </w:rPr>
        <w:t>2.</w:t>
      </w:r>
      <w:r>
        <w:rPr>
          <w:rStyle w:val="11"/>
          <w:rFonts w:ascii="宋体" w:hAnsi="宋体" w:eastAsia="宋体" w:cs="宋体"/>
          <w:sz w:val="24"/>
          <w:szCs w:val="24"/>
          <w:lang w:val="en-US" w:eastAsia="zh-CN" w:bidi="ar"/>
        </w:rPr>
        <w:t>本办法所称小微企业按照《关于印发〈统计上大中小微型企业划分办法（2017）〉的通知》（国统字〔2017〕213 号）的划分标准执行。本办法所指农户为《财政部 税务总局关于延续实施小额贷款公司有关税收优惠政策的公告》（财政部 税务总局公告2023年第54号）第四项规定：本公告所称农户，是指长期（一年以上）居住在乡镇（不包括城关镇）行政管理区域内的住户，还包括长期居住在城关镇所辖行政村范围内的住户和户口不在本地而在本地居住一年以上的住户，国有农场的职工和农村个体工商户。</w:t>
      </w:r>
      <w:r>
        <w:rPr>
          <w:rStyle w:val="11"/>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3.</w:t>
      </w:r>
      <w:r>
        <w:rPr>
          <w:rStyle w:val="11"/>
          <w:rFonts w:ascii="宋体" w:hAnsi="宋体" w:eastAsia="宋体" w:cs="宋体"/>
          <w:sz w:val="24"/>
          <w:szCs w:val="24"/>
          <w:lang w:val="en-US" w:eastAsia="zh-CN" w:bidi="ar"/>
        </w:rPr>
        <w:t>利润率=（利润总额/经营收入）×100%。</w:t>
      </w:r>
      <w:r>
        <w:rPr>
          <w:rStyle w:val="11"/>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4.</w:t>
      </w:r>
      <w:r>
        <w:rPr>
          <w:rStyle w:val="11"/>
          <w:rFonts w:ascii="宋体" w:hAnsi="宋体" w:eastAsia="宋体" w:cs="宋体"/>
          <w:sz w:val="24"/>
          <w:szCs w:val="24"/>
          <w:lang w:val="en-US" w:eastAsia="zh-CN" w:bidi="ar"/>
        </w:rPr>
        <w:t>资本收益率=（净利润/平均注册资本）×100%。</w:t>
      </w:r>
      <w:r>
        <w:rPr>
          <w:rStyle w:val="11"/>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5.</w:t>
      </w:r>
      <w:r>
        <w:rPr>
          <w:rStyle w:val="11"/>
          <w:rFonts w:ascii="宋体" w:hAnsi="宋体" w:eastAsia="宋体" w:cs="宋体"/>
          <w:sz w:val="24"/>
          <w:szCs w:val="24"/>
          <w:lang w:val="en-US" w:eastAsia="zh-CN" w:bidi="ar"/>
        </w:rPr>
        <w:t>净资产收益率=（净利润/平均净资产）×100%。</w:t>
      </w:r>
      <w:r>
        <w:rPr>
          <w:rStyle w:val="11"/>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6.</w:t>
      </w:r>
      <w:r>
        <w:rPr>
          <w:rStyle w:val="11"/>
          <w:rFonts w:ascii="宋体" w:hAnsi="宋体" w:eastAsia="宋体" w:cs="宋体"/>
          <w:sz w:val="24"/>
          <w:szCs w:val="24"/>
          <w:lang w:val="en-US" w:eastAsia="zh-CN" w:bidi="ar"/>
        </w:rPr>
        <w:t>本办法加分项中业务发展和国家产业政策紧密融合指标的贷款余额不与贷款投放支持小微企业、个体工商户、农户和个人消费者等群体情况指标的贷款余额重复计算。</w:t>
      </w:r>
      <w:r>
        <w:rPr>
          <w:rStyle w:val="11"/>
          <w:rFonts w:ascii="宋体" w:hAnsi="宋体" w:eastAsia="宋体" w:cs="宋体"/>
          <w:sz w:val="24"/>
          <w:szCs w:val="24"/>
          <w:lang w:val="en-US" w:eastAsia="zh-CN" w:bidi="ar"/>
        </w:rPr>
        <w:br w:type="textWrapping"/>
      </w:r>
      <w:r>
        <w:rPr>
          <w:rStyle w:val="12"/>
          <w:rFonts w:ascii="宋体" w:hAnsi="宋体" w:eastAsia="宋体" w:cs="宋体"/>
          <w:sz w:val="24"/>
          <w:szCs w:val="24"/>
          <w:lang w:val="en-US" w:eastAsia="zh-CN" w:bidi="ar"/>
        </w:rPr>
        <w:t>7.</w:t>
      </w:r>
      <w:r>
        <w:rPr>
          <w:rStyle w:val="11"/>
          <w:rFonts w:ascii="宋体" w:hAnsi="宋体" w:eastAsia="宋体" w:cs="宋体"/>
          <w:sz w:val="24"/>
          <w:szCs w:val="24"/>
          <w:lang w:val="en-US" w:eastAsia="zh-CN" w:bidi="ar"/>
        </w:rPr>
        <w:t>本法所称慈善活动，依据《中华人民共和国慈善法》第三条，有效公益项目必须属于以下六类活动之一：（一）扶贫、济困；（二）扶老、救孤、恤病、助残、优抚；（三）救助自然灾害、事故灾难和公共卫生事件等突发事件造成的损害；（四）促进教育、科学、文化、卫生、体育等事业的发展；（五）防治污染和其他公害，保护和改善生态环境；（六）符合本法规定的其他公益活动。</w:t>
      </w:r>
    </w:p>
    <w:p w14:paraId="7A7537A4">
      <w:pPr>
        <w:rPr>
          <w:b w:val="0"/>
          <w:bCs w:val="0"/>
        </w:rPr>
      </w:pPr>
    </w:p>
    <w:p w14:paraId="04A06FDE">
      <w:pPr>
        <w:rPr>
          <w:b w:val="0"/>
          <w:bCs w:val="0"/>
        </w:rPr>
      </w:pPr>
    </w:p>
    <w:p w14:paraId="327C6EA3">
      <w:pPr>
        <w:rPr>
          <w:b w:val="0"/>
          <w:bCs w:val="0"/>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B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A53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34A53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NTYxZmEzYzU0ZDI2YWRkYzA3YmZkMDE0NGViM2EifQ=="/>
  </w:docVars>
  <w:rsids>
    <w:rsidRoot w:val="35645297"/>
    <w:rsid w:val="004020F6"/>
    <w:rsid w:val="00576D6E"/>
    <w:rsid w:val="005E0AA6"/>
    <w:rsid w:val="00F30CA0"/>
    <w:rsid w:val="00FD5D2C"/>
    <w:rsid w:val="01264972"/>
    <w:rsid w:val="01A916C8"/>
    <w:rsid w:val="020967F0"/>
    <w:rsid w:val="02220D28"/>
    <w:rsid w:val="024F56D9"/>
    <w:rsid w:val="028D5673"/>
    <w:rsid w:val="02FE1FF9"/>
    <w:rsid w:val="03936C6A"/>
    <w:rsid w:val="03A32C74"/>
    <w:rsid w:val="050A2CE6"/>
    <w:rsid w:val="054A0F42"/>
    <w:rsid w:val="06530D6C"/>
    <w:rsid w:val="06B74313"/>
    <w:rsid w:val="07537A15"/>
    <w:rsid w:val="07E2057E"/>
    <w:rsid w:val="083E2F6B"/>
    <w:rsid w:val="084602A2"/>
    <w:rsid w:val="085140B5"/>
    <w:rsid w:val="086E5BE3"/>
    <w:rsid w:val="08B275D1"/>
    <w:rsid w:val="09540C99"/>
    <w:rsid w:val="097E7F9F"/>
    <w:rsid w:val="09F31262"/>
    <w:rsid w:val="0B680DC4"/>
    <w:rsid w:val="0B883674"/>
    <w:rsid w:val="0B911786"/>
    <w:rsid w:val="0BD03446"/>
    <w:rsid w:val="0BE519C8"/>
    <w:rsid w:val="0C6531BD"/>
    <w:rsid w:val="0C7B29E0"/>
    <w:rsid w:val="0C9C5567"/>
    <w:rsid w:val="0CFA3A9C"/>
    <w:rsid w:val="0CFB02D1"/>
    <w:rsid w:val="0DDD75CE"/>
    <w:rsid w:val="0E3015D7"/>
    <w:rsid w:val="0E552710"/>
    <w:rsid w:val="0E5C05EF"/>
    <w:rsid w:val="0E987D02"/>
    <w:rsid w:val="0F8B4B93"/>
    <w:rsid w:val="0FC41FA8"/>
    <w:rsid w:val="10A854E3"/>
    <w:rsid w:val="10F2465E"/>
    <w:rsid w:val="11811943"/>
    <w:rsid w:val="11BC4F75"/>
    <w:rsid w:val="11E23F66"/>
    <w:rsid w:val="12D22C2E"/>
    <w:rsid w:val="12D670A7"/>
    <w:rsid w:val="133014CE"/>
    <w:rsid w:val="13477178"/>
    <w:rsid w:val="13596FCB"/>
    <w:rsid w:val="13B011C1"/>
    <w:rsid w:val="141B290C"/>
    <w:rsid w:val="145A737F"/>
    <w:rsid w:val="149931DA"/>
    <w:rsid w:val="14F165F1"/>
    <w:rsid w:val="15764E32"/>
    <w:rsid w:val="160E39D7"/>
    <w:rsid w:val="161B58D5"/>
    <w:rsid w:val="163141F5"/>
    <w:rsid w:val="163C4F8E"/>
    <w:rsid w:val="166F7BAD"/>
    <w:rsid w:val="16A9014A"/>
    <w:rsid w:val="17255D87"/>
    <w:rsid w:val="181E1050"/>
    <w:rsid w:val="18831547"/>
    <w:rsid w:val="18CA565E"/>
    <w:rsid w:val="18E80CA3"/>
    <w:rsid w:val="18F75C82"/>
    <w:rsid w:val="18FE560D"/>
    <w:rsid w:val="198F39B3"/>
    <w:rsid w:val="19CA72DF"/>
    <w:rsid w:val="1A6775C1"/>
    <w:rsid w:val="1AC6751C"/>
    <w:rsid w:val="1AD00D8B"/>
    <w:rsid w:val="1B5B26CB"/>
    <w:rsid w:val="1B9E6B2B"/>
    <w:rsid w:val="1BAE4EF6"/>
    <w:rsid w:val="1BCA4DF1"/>
    <w:rsid w:val="1C042883"/>
    <w:rsid w:val="1C7D1E5D"/>
    <w:rsid w:val="1DD63602"/>
    <w:rsid w:val="1E0B7304"/>
    <w:rsid w:val="1E15696A"/>
    <w:rsid w:val="1E4A6BB3"/>
    <w:rsid w:val="1EAC455F"/>
    <w:rsid w:val="1EC01001"/>
    <w:rsid w:val="1F3C63CC"/>
    <w:rsid w:val="1F5514F4"/>
    <w:rsid w:val="1FC16625"/>
    <w:rsid w:val="20702F46"/>
    <w:rsid w:val="2072535C"/>
    <w:rsid w:val="208F215E"/>
    <w:rsid w:val="20E82A4E"/>
    <w:rsid w:val="21DF4421"/>
    <w:rsid w:val="223236E9"/>
    <w:rsid w:val="22A031DB"/>
    <w:rsid w:val="23081905"/>
    <w:rsid w:val="23C32038"/>
    <w:rsid w:val="24502AB0"/>
    <w:rsid w:val="25801095"/>
    <w:rsid w:val="25E33337"/>
    <w:rsid w:val="26382C80"/>
    <w:rsid w:val="26726CE4"/>
    <w:rsid w:val="26D56143"/>
    <w:rsid w:val="27B200B0"/>
    <w:rsid w:val="281F2C62"/>
    <w:rsid w:val="28D45C09"/>
    <w:rsid w:val="28E229A0"/>
    <w:rsid w:val="28E868B0"/>
    <w:rsid w:val="2900009D"/>
    <w:rsid w:val="29471828"/>
    <w:rsid w:val="2A3A09D3"/>
    <w:rsid w:val="2A7917BC"/>
    <w:rsid w:val="2B241C55"/>
    <w:rsid w:val="2B4D6E9E"/>
    <w:rsid w:val="2BAA7930"/>
    <w:rsid w:val="2BD01D6E"/>
    <w:rsid w:val="2C8F67F8"/>
    <w:rsid w:val="2CE8063C"/>
    <w:rsid w:val="2D2F6832"/>
    <w:rsid w:val="2D460049"/>
    <w:rsid w:val="2D83304B"/>
    <w:rsid w:val="2F0D6CBD"/>
    <w:rsid w:val="2F592615"/>
    <w:rsid w:val="30484636"/>
    <w:rsid w:val="31A27F7B"/>
    <w:rsid w:val="31B6249E"/>
    <w:rsid w:val="31C0752B"/>
    <w:rsid w:val="323068E5"/>
    <w:rsid w:val="32851B1A"/>
    <w:rsid w:val="32D8387B"/>
    <w:rsid w:val="330734E2"/>
    <w:rsid w:val="336E044D"/>
    <w:rsid w:val="344B7ED9"/>
    <w:rsid w:val="34525525"/>
    <w:rsid w:val="347527E5"/>
    <w:rsid w:val="34945D4F"/>
    <w:rsid w:val="34D67F04"/>
    <w:rsid w:val="34FA0F76"/>
    <w:rsid w:val="354016EB"/>
    <w:rsid w:val="35416912"/>
    <w:rsid w:val="35645297"/>
    <w:rsid w:val="35860172"/>
    <w:rsid w:val="362178A5"/>
    <w:rsid w:val="36883480"/>
    <w:rsid w:val="37A421DA"/>
    <w:rsid w:val="37AB38CA"/>
    <w:rsid w:val="37C415EB"/>
    <w:rsid w:val="37D23FA3"/>
    <w:rsid w:val="37DA41AF"/>
    <w:rsid w:val="38367638"/>
    <w:rsid w:val="3842555B"/>
    <w:rsid w:val="38504871"/>
    <w:rsid w:val="38977F46"/>
    <w:rsid w:val="38C36C4D"/>
    <w:rsid w:val="3B193248"/>
    <w:rsid w:val="3B64626A"/>
    <w:rsid w:val="3BF120A8"/>
    <w:rsid w:val="3C12749A"/>
    <w:rsid w:val="3CED5F04"/>
    <w:rsid w:val="3D2F0AF9"/>
    <w:rsid w:val="3D3F248B"/>
    <w:rsid w:val="3DB1150E"/>
    <w:rsid w:val="3E307815"/>
    <w:rsid w:val="3EA55255"/>
    <w:rsid w:val="3F605988"/>
    <w:rsid w:val="3FA52BFA"/>
    <w:rsid w:val="40693C3C"/>
    <w:rsid w:val="40E35B04"/>
    <w:rsid w:val="40E55784"/>
    <w:rsid w:val="414F176A"/>
    <w:rsid w:val="41B5364C"/>
    <w:rsid w:val="423A60B6"/>
    <w:rsid w:val="425E756F"/>
    <w:rsid w:val="427434C5"/>
    <w:rsid w:val="431D7344"/>
    <w:rsid w:val="43E837B0"/>
    <w:rsid w:val="442104D5"/>
    <w:rsid w:val="44F404AD"/>
    <w:rsid w:val="456926CF"/>
    <w:rsid w:val="45927E77"/>
    <w:rsid w:val="45C50B85"/>
    <w:rsid w:val="460A2B51"/>
    <w:rsid w:val="465935F7"/>
    <w:rsid w:val="46A24CF0"/>
    <w:rsid w:val="46C7706B"/>
    <w:rsid w:val="4710374A"/>
    <w:rsid w:val="472D6E53"/>
    <w:rsid w:val="475F7987"/>
    <w:rsid w:val="47A14C13"/>
    <w:rsid w:val="47C27346"/>
    <w:rsid w:val="48D01A82"/>
    <w:rsid w:val="48FD1E78"/>
    <w:rsid w:val="49025314"/>
    <w:rsid w:val="49881230"/>
    <w:rsid w:val="499408C6"/>
    <w:rsid w:val="499B4A9F"/>
    <w:rsid w:val="499E328F"/>
    <w:rsid w:val="49BC1967"/>
    <w:rsid w:val="4A2D39E8"/>
    <w:rsid w:val="4A592F83"/>
    <w:rsid w:val="4A9F1AFB"/>
    <w:rsid w:val="4A9F72BE"/>
    <w:rsid w:val="4AB04516"/>
    <w:rsid w:val="4AFE2097"/>
    <w:rsid w:val="4B45028D"/>
    <w:rsid w:val="4C1B3768"/>
    <w:rsid w:val="4C613EDC"/>
    <w:rsid w:val="4CFA6A2E"/>
    <w:rsid w:val="4D151ABA"/>
    <w:rsid w:val="4D7D33AF"/>
    <w:rsid w:val="4DA0266A"/>
    <w:rsid w:val="4DBF3E19"/>
    <w:rsid w:val="4DD053B8"/>
    <w:rsid w:val="4DF26BF1"/>
    <w:rsid w:val="4E9718FE"/>
    <w:rsid w:val="4F404315"/>
    <w:rsid w:val="4F5B3D0F"/>
    <w:rsid w:val="4F824D7E"/>
    <w:rsid w:val="4FB01626"/>
    <w:rsid w:val="4FCC4AD7"/>
    <w:rsid w:val="4FDC5C7F"/>
    <w:rsid w:val="51064B1B"/>
    <w:rsid w:val="515D758B"/>
    <w:rsid w:val="52F23421"/>
    <w:rsid w:val="5323771D"/>
    <w:rsid w:val="5373753A"/>
    <w:rsid w:val="53982AFD"/>
    <w:rsid w:val="53FA3C53"/>
    <w:rsid w:val="547C4DF7"/>
    <w:rsid w:val="54C3111E"/>
    <w:rsid w:val="557F0CD2"/>
    <w:rsid w:val="55835CD9"/>
    <w:rsid w:val="55DE50EE"/>
    <w:rsid w:val="56097237"/>
    <w:rsid w:val="5665084A"/>
    <w:rsid w:val="56A75E3B"/>
    <w:rsid w:val="57323268"/>
    <w:rsid w:val="5765363E"/>
    <w:rsid w:val="57EC2C4F"/>
    <w:rsid w:val="581E454C"/>
    <w:rsid w:val="5895585D"/>
    <w:rsid w:val="594A2AEB"/>
    <w:rsid w:val="5955430C"/>
    <w:rsid w:val="59A07D17"/>
    <w:rsid w:val="59D062E8"/>
    <w:rsid w:val="59D2111E"/>
    <w:rsid w:val="59D559DF"/>
    <w:rsid w:val="5A317606"/>
    <w:rsid w:val="5AA153EC"/>
    <w:rsid w:val="5ABA3CE7"/>
    <w:rsid w:val="5ADA679A"/>
    <w:rsid w:val="5AF329BE"/>
    <w:rsid w:val="5BF239F7"/>
    <w:rsid w:val="5C7C3948"/>
    <w:rsid w:val="5CA16EC6"/>
    <w:rsid w:val="5CEB19FD"/>
    <w:rsid w:val="5D7673E3"/>
    <w:rsid w:val="5E6235EE"/>
    <w:rsid w:val="5F8D66F8"/>
    <w:rsid w:val="5FD50C35"/>
    <w:rsid w:val="60C91D59"/>
    <w:rsid w:val="60DA7A74"/>
    <w:rsid w:val="60DF60FA"/>
    <w:rsid w:val="611565D4"/>
    <w:rsid w:val="617221F6"/>
    <w:rsid w:val="617C17FC"/>
    <w:rsid w:val="61926DDD"/>
    <w:rsid w:val="61D87997"/>
    <w:rsid w:val="624F55E6"/>
    <w:rsid w:val="62A969EB"/>
    <w:rsid w:val="62D52D32"/>
    <w:rsid w:val="63440DE8"/>
    <w:rsid w:val="634A1A8D"/>
    <w:rsid w:val="638763D9"/>
    <w:rsid w:val="63A21181"/>
    <w:rsid w:val="63DF4869"/>
    <w:rsid w:val="6412273A"/>
    <w:rsid w:val="64374EF8"/>
    <w:rsid w:val="644D348F"/>
    <w:rsid w:val="64B87B7C"/>
    <w:rsid w:val="64BB489D"/>
    <w:rsid w:val="64D03DF2"/>
    <w:rsid w:val="65387C9C"/>
    <w:rsid w:val="659970BE"/>
    <w:rsid w:val="6629473F"/>
    <w:rsid w:val="671962B5"/>
    <w:rsid w:val="685811C0"/>
    <w:rsid w:val="68DC3997"/>
    <w:rsid w:val="69147375"/>
    <w:rsid w:val="694A3FCB"/>
    <w:rsid w:val="69FA241E"/>
    <w:rsid w:val="6A092CEC"/>
    <w:rsid w:val="6A2F5543"/>
    <w:rsid w:val="6A5A5286"/>
    <w:rsid w:val="6A9929F4"/>
    <w:rsid w:val="6AA0237F"/>
    <w:rsid w:val="6B146ABA"/>
    <w:rsid w:val="6B2D1BE2"/>
    <w:rsid w:val="6B732357"/>
    <w:rsid w:val="6B9E319B"/>
    <w:rsid w:val="6C0C59DE"/>
    <w:rsid w:val="6CE63F9D"/>
    <w:rsid w:val="6D035033"/>
    <w:rsid w:val="6E811FDA"/>
    <w:rsid w:val="707134A0"/>
    <w:rsid w:val="70D43728"/>
    <w:rsid w:val="71B71FA3"/>
    <w:rsid w:val="726760BC"/>
    <w:rsid w:val="726A16B0"/>
    <w:rsid w:val="730E55D1"/>
    <w:rsid w:val="736A2467"/>
    <w:rsid w:val="73AD3F4B"/>
    <w:rsid w:val="743F3744"/>
    <w:rsid w:val="74674908"/>
    <w:rsid w:val="74E34252"/>
    <w:rsid w:val="75676A2A"/>
    <w:rsid w:val="75E64D79"/>
    <w:rsid w:val="75E874BC"/>
    <w:rsid w:val="75F41B11"/>
    <w:rsid w:val="766C1E9B"/>
    <w:rsid w:val="76D336FD"/>
    <w:rsid w:val="76E5271E"/>
    <w:rsid w:val="77651D73"/>
    <w:rsid w:val="77687474"/>
    <w:rsid w:val="77866A24"/>
    <w:rsid w:val="77BF7E83"/>
    <w:rsid w:val="77D01422"/>
    <w:rsid w:val="77E93077"/>
    <w:rsid w:val="781F11A1"/>
    <w:rsid w:val="78BA6E21"/>
    <w:rsid w:val="79641838"/>
    <w:rsid w:val="79917BFA"/>
    <w:rsid w:val="79964206"/>
    <w:rsid w:val="79C96FDE"/>
    <w:rsid w:val="79EB30D7"/>
    <w:rsid w:val="7A0D5743"/>
    <w:rsid w:val="7A6A54E3"/>
    <w:rsid w:val="7A8A161B"/>
    <w:rsid w:val="7AB15C57"/>
    <w:rsid w:val="7AC23973"/>
    <w:rsid w:val="7B2D3022"/>
    <w:rsid w:val="7B9466A0"/>
    <w:rsid w:val="7C245B39"/>
    <w:rsid w:val="7C312C50"/>
    <w:rsid w:val="7C345DD3"/>
    <w:rsid w:val="7CAE69DF"/>
    <w:rsid w:val="7CDD6731"/>
    <w:rsid w:val="7CE309DD"/>
    <w:rsid w:val="7D0351A7"/>
    <w:rsid w:val="7D260BDE"/>
    <w:rsid w:val="7DA2182D"/>
    <w:rsid w:val="7E697008"/>
    <w:rsid w:val="7EBD57FD"/>
    <w:rsid w:val="7ED45422"/>
    <w:rsid w:val="7F4079CE"/>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color w:val="auto"/>
      <w:kern w:val="2"/>
      <w:sz w:val="32"/>
      <w:szCs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autoRedefine/>
    <w:qFormat/>
    <w:uiPriority w:val="0"/>
    <w:pPr>
      <w:snapToGrid w:val="0"/>
      <w:jc w:val="left"/>
    </w:pPr>
    <w:rPr>
      <w:sz w:val="18"/>
    </w:rPr>
  </w:style>
  <w:style w:type="character" w:styleId="7">
    <w:name w:val="footnote reference"/>
    <w:basedOn w:val="6"/>
    <w:autoRedefine/>
    <w:qFormat/>
    <w:uiPriority w:val="0"/>
    <w:rPr>
      <w:vertAlign w:val="superscript"/>
    </w:rPr>
  </w:style>
  <w:style w:type="character" w:customStyle="1" w:styleId="8">
    <w:name w:val="font31"/>
    <w:basedOn w:val="6"/>
    <w:qFormat/>
    <w:uiPriority w:val="0"/>
    <w:rPr>
      <w:rFonts w:hint="eastAsia" w:ascii="微软雅黑" w:hAnsi="微软雅黑" w:eastAsia="微软雅黑" w:cs="微软雅黑"/>
      <w:color w:val="000000"/>
      <w:sz w:val="18"/>
      <w:szCs w:val="18"/>
      <w:u w:val="none"/>
    </w:rPr>
  </w:style>
  <w:style w:type="character" w:customStyle="1" w:styleId="9">
    <w:name w:val="font101"/>
    <w:basedOn w:val="6"/>
    <w:qFormat/>
    <w:uiPriority w:val="0"/>
    <w:rPr>
      <w:rFonts w:hint="eastAsia" w:ascii="微软雅黑" w:hAnsi="微软雅黑" w:eastAsia="微软雅黑" w:cs="微软雅黑"/>
      <w:color w:val="FF0000"/>
      <w:sz w:val="18"/>
      <w:szCs w:val="18"/>
      <w:u w:val="none"/>
    </w:rPr>
  </w:style>
  <w:style w:type="character" w:customStyle="1" w:styleId="10">
    <w:name w:val="font151"/>
    <w:basedOn w:val="6"/>
    <w:qFormat/>
    <w:uiPriority w:val="0"/>
    <w:rPr>
      <w:rFonts w:ascii="宋体" w:hAnsi="宋体" w:eastAsia="宋体" w:cs="宋体"/>
      <w:color w:val="000000"/>
      <w:sz w:val="18"/>
      <w:szCs w:val="18"/>
      <w:u w:val="none"/>
    </w:rPr>
  </w:style>
  <w:style w:type="character" w:customStyle="1" w:styleId="11">
    <w:name w:val="font61"/>
    <w:basedOn w:val="6"/>
    <w:qFormat/>
    <w:uiPriority w:val="0"/>
    <w:rPr>
      <w:rFonts w:hint="eastAsia" w:ascii="微软雅黑" w:hAnsi="微软雅黑" w:eastAsia="微软雅黑" w:cs="微软雅黑"/>
      <w:color w:val="000000"/>
      <w:sz w:val="18"/>
      <w:szCs w:val="18"/>
      <w:u w:val="none"/>
    </w:rPr>
  </w:style>
  <w:style w:type="character" w:customStyle="1" w:styleId="12">
    <w:name w:val="font141"/>
    <w:basedOn w:val="6"/>
    <w:qFormat/>
    <w:uiPriority w:val="0"/>
    <w:rPr>
      <w:rFonts w:hint="eastAsia" w:ascii="微软雅黑" w:hAnsi="微软雅黑" w:eastAsia="微软雅黑" w:cs="微软雅黑"/>
      <w:b/>
      <w:bCs/>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4147</Words>
  <Characters>4212</Characters>
  <Lines>0</Lines>
  <Paragraphs>0</Paragraphs>
  <TotalTime>96</TotalTime>
  <ScaleCrop>false</ScaleCrop>
  <LinksUpToDate>false</LinksUpToDate>
  <CharactersWithSpaces>4277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2025-05-20T06:02:00Z</dcterms:created>
  <dc:creator>吴健楠</dc:creator>
  <cp:lastModifiedBy>吴健楠</cp:lastModifiedBy>
  <cp:lastPrinted>2025-09-28T03:18:20Z</cp:lastPrinted>
  <dcterms:modified xsi:type="dcterms:W3CDTF">2025-09-28T08:31:14Z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3CD6C0A67FE54095AAB45491DE021290_13</vt:lpwstr>
  </property>
  <property fmtid="{D5CDD505-2E9C-101B-9397-08002B2CF9AE}" pid="4" name="KSOTemplateDocerSaveRecord">
    <vt:lpwstr>eyJoZGlkIjoiMGUyYjc5ZGNkNDVhYjg3NDMzZWNhM2JkM2Q4YWI3NGIiLCJ1c2VySWQiOiI0MzEzMzE4MTQifQ==</vt:lpwstr>
  </property>
</Properties>
</file>